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12CF8" w14:textId="217303AE" w:rsidR="006A1546" w:rsidRPr="006A1546" w:rsidRDefault="006A1546" w:rsidP="006A1546">
      <w:pPr>
        <w:rPr>
          <w:rFonts w:ascii="Arial" w:hAnsi="Arial" w:cs="Arial"/>
        </w:rPr>
      </w:pPr>
      <w:r w:rsidRPr="006A1546">
        <w:rPr>
          <w:rFonts w:ascii="Arial" w:hAnsi="Arial" w:cs="Arial"/>
        </w:rPr>
        <w:t>LIBTAYO</w:t>
      </w:r>
      <w:r w:rsidRPr="006A1546">
        <w:rPr>
          <w:rFonts w:ascii="Arial" w:hAnsi="Arial" w:cs="Arial"/>
          <w:vertAlign w:val="superscript"/>
        </w:rPr>
        <w:t>®</w:t>
      </w:r>
      <w:r w:rsidRPr="006A1546">
        <w:rPr>
          <w:rFonts w:ascii="Arial" w:hAnsi="Arial" w:cs="Arial"/>
        </w:rPr>
        <w:t xml:space="preserve"> (</w:t>
      </w:r>
      <w:proofErr w:type="spellStart"/>
      <w:r w:rsidRPr="006A1546">
        <w:rPr>
          <w:rFonts w:ascii="Arial" w:hAnsi="Arial" w:cs="Arial"/>
        </w:rPr>
        <w:t>cemiplimab-rwlc</w:t>
      </w:r>
      <w:proofErr w:type="spellEnd"/>
      <w:r w:rsidRPr="006A1546">
        <w:rPr>
          <w:rFonts w:ascii="Arial" w:hAnsi="Arial" w:cs="Arial"/>
        </w:rPr>
        <w:t xml:space="preserve">) is now approved </w:t>
      </w:r>
      <w:r>
        <w:rPr>
          <w:rFonts w:ascii="Arial" w:hAnsi="Arial" w:cs="Arial"/>
        </w:rPr>
        <w:t xml:space="preserve">for the </w:t>
      </w:r>
      <w:r w:rsidRPr="006A1546">
        <w:rPr>
          <w:rFonts w:ascii="Arial" w:hAnsi="Arial" w:cs="Arial"/>
          <w:b/>
          <w:bCs/>
        </w:rPr>
        <w:t xml:space="preserve">adjuvant treatment of </w:t>
      </w:r>
      <w:r w:rsidR="00083F68">
        <w:rPr>
          <w:rFonts w:ascii="Arial" w:hAnsi="Arial" w:cs="Arial"/>
          <w:b/>
          <w:bCs/>
        </w:rPr>
        <w:t xml:space="preserve">adult </w:t>
      </w:r>
      <w:r w:rsidRPr="006A1546">
        <w:rPr>
          <w:rFonts w:ascii="Arial" w:hAnsi="Arial" w:cs="Arial"/>
          <w:b/>
          <w:bCs/>
        </w:rPr>
        <w:t>patients with cutaneous squamous cell carcinoma (CSCC) at high risk of recurrence after surgery</w:t>
      </w:r>
      <w:r w:rsidR="00083F68">
        <w:rPr>
          <w:rFonts w:ascii="Arial" w:hAnsi="Arial" w:cs="Arial"/>
          <w:color w:val="FF40FF"/>
        </w:rPr>
        <w:t xml:space="preserve"> </w:t>
      </w:r>
      <w:r w:rsidR="00083F68" w:rsidRPr="0026393F">
        <w:rPr>
          <w:rFonts w:ascii="Arial" w:hAnsi="Arial" w:cs="Arial"/>
          <w:b/>
          <w:bCs/>
          <w:color w:val="000000" w:themeColor="text1"/>
        </w:rPr>
        <w:t>and radiation</w:t>
      </w:r>
      <w:r w:rsidRPr="006A1546">
        <w:rPr>
          <w:rFonts w:ascii="Arial" w:hAnsi="Arial" w:cs="Arial"/>
        </w:rPr>
        <w:t>.</w:t>
      </w:r>
    </w:p>
    <w:p w14:paraId="3BD6D70C" w14:textId="24ED6BCA" w:rsidR="006A1546" w:rsidRPr="006A1546" w:rsidRDefault="006A1546" w:rsidP="006A1546">
      <w:pPr>
        <w:rPr>
          <w:rFonts w:ascii="Arial" w:hAnsi="Arial" w:cs="Arial"/>
        </w:rPr>
      </w:pPr>
      <w:r w:rsidRPr="006A1546">
        <w:rPr>
          <w:rFonts w:ascii="Arial" w:hAnsi="Arial" w:cs="Arial"/>
        </w:rPr>
        <w:t>LIBTAYO is</w:t>
      </w:r>
      <w:r w:rsidR="002D3B03">
        <w:rPr>
          <w:rFonts w:ascii="Arial" w:hAnsi="Arial" w:cs="Arial"/>
        </w:rPr>
        <w:t xml:space="preserve"> also</w:t>
      </w:r>
      <w:r w:rsidRPr="006A1546">
        <w:rPr>
          <w:rFonts w:ascii="Arial" w:hAnsi="Arial" w:cs="Arial"/>
        </w:rPr>
        <w:t xml:space="preserve"> indicated for the treatment of </w:t>
      </w:r>
      <w:r w:rsidR="00083F68">
        <w:rPr>
          <w:rFonts w:ascii="Arial" w:hAnsi="Arial" w:cs="Arial"/>
        </w:rPr>
        <w:t xml:space="preserve">adult </w:t>
      </w:r>
      <w:r w:rsidRPr="006A1546">
        <w:rPr>
          <w:rFonts w:ascii="Arial" w:hAnsi="Arial" w:cs="Arial"/>
        </w:rPr>
        <w:t>patients with metastatic cutaneous squamous cell carcinoma (</w:t>
      </w:r>
      <w:proofErr w:type="spellStart"/>
      <w:r w:rsidRPr="006A1546">
        <w:rPr>
          <w:rFonts w:ascii="Arial" w:hAnsi="Arial" w:cs="Arial"/>
        </w:rPr>
        <w:t>mCSCC</w:t>
      </w:r>
      <w:proofErr w:type="spellEnd"/>
      <w:r w:rsidRPr="006A1546">
        <w:rPr>
          <w:rFonts w:ascii="Arial" w:hAnsi="Arial" w:cs="Arial"/>
        </w:rPr>
        <w:t>) or locally advanced CSCC (</w:t>
      </w:r>
      <w:proofErr w:type="spellStart"/>
      <w:r w:rsidRPr="006A1546">
        <w:rPr>
          <w:rFonts w:ascii="Arial" w:hAnsi="Arial" w:cs="Arial"/>
        </w:rPr>
        <w:t>laCSCC</w:t>
      </w:r>
      <w:proofErr w:type="spellEnd"/>
      <w:r w:rsidRPr="006A1546">
        <w:rPr>
          <w:rFonts w:ascii="Arial" w:hAnsi="Arial" w:cs="Arial"/>
        </w:rPr>
        <w:t>) who are not candidates for curative surgery or curative radiation.</w:t>
      </w:r>
    </w:p>
    <w:p w14:paraId="47CD46B5" w14:textId="0AEC397E" w:rsidR="006A1546" w:rsidRDefault="006A1546" w:rsidP="006A1546">
      <w:pPr>
        <w:rPr>
          <w:rFonts w:ascii="Arial" w:hAnsi="Arial" w:cs="Arial"/>
        </w:rPr>
      </w:pPr>
      <w:r w:rsidRPr="006A1546">
        <w:rPr>
          <w:rFonts w:ascii="Arial" w:hAnsi="Arial" w:cs="Arial"/>
        </w:rPr>
        <w:t xml:space="preserve">Please click </w:t>
      </w:r>
      <w:hyperlink r:id="rId7" w:history="1">
        <w:r w:rsidRPr="006A1546">
          <w:rPr>
            <w:rStyle w:val="Hyperlink"/>
            <w:rFonts w:ascii="Arial" w:hAnsi="Arial" w:cs="Arial"/>
          </w:rPr>
          <w:t>here</w:t>
        </w:r>
      </w:hyperlink>
      <w:r w:rsidRPr="006A1546">
        <w:rPr>
          <w:rFonts w:ascii="Arial" w:hAnsi="Arial" w:cs="Arial"/>
        </w:rPr>
        <w:t xml:space="preserve"> to learn more.</w:t>
      </w:r>
    </w:p>
    <w:p w14:paraId="1CD9B314" w14:textId="77777777" w:rsidR="009A7451" w:rsidRDefault="009A7451" w:rsidP="006A1546">
      <w:pPr>
        <w:rPr>
          <w:rFonts w:ascii="Arial" w:hAnsi="Arial" w:cs="Arial"/>
        </w:rPr>
      </w:pPr>
    </w:p>
    <w:p w14:paraId="468259CA" w14:textId="01A62FFB" w:rsidR="00451616" w:rsidRDefault="00A57765" w:rsidP="00852EB2">
      <w:pPr>
        <w:rPr>
          <w:rFonts w:ascii="Arial" w:hAnsi="Arial" w:cs="Arial"/>
        </w:rPr>
      </w:pPr>
      <w:r>
        <w:rPr>
          <w:rFonts w:ascii="Arial" w:hAnsi="Arial" w:cs="Arial"/>
          <w:noProof/>
        </w:rPr>
        <w:drawing>
          <wp:anchor distT="0" distB="0" distL="114300" distR="114300" simplePos="0" relativeHeight="251658240" behindDoc="0" locked="0" layoutInCell="1" allowOverlap="1" wp14:anchorId="60727FAA" wp14:editId="2D199348">
            <wp:simplePos x="0" y="0"/>
            <wp:positionH relativeFrom="column">
              <wp:posOffset>-635</wp:posOffset>
            </wp:positionH>
            <wp:positionV relativeFrom="paragraph">
              <wp:posOffset>159991</wp:posOffset>
            </wp:positionV>
            <wp:extent cx="2947035" cy="956310"/>
            <wp:effectExtent l="0" t="0" r="0" b="0"/>
            <wp:wrapSquare wrapText="bothSides"/>
            <wp:docPr id="1481605633"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605633" name="Graphic 1481605633"/>
                    <pic:cNvPicPr/>
                  </pic:nvPicPr>
                  <pic:blipFill>
                    <a:blip r:embed="rId8">
                      <a:extLst>
                        <a:ext uri="{96DAC541-7B7A-43D3-8B79-37D633B846F1}">
                          <asvg:svgBlip xmlns:asvg="http://schemas.microsoft.com/office/drawing/2016/SVG/main" r:embed="rId9"/>
                        </a:ext>
                      </a:extLst>
                    </a:blip>
                    <a:stretch>
                      <a:fillRect/>
                    </a:stretch>
                  </pic:blipFill>
                  <pic:spPr>
                    <a:xfrm>
                      <a:off x="0" y="0"/>
                      <a:ext cx="2947035" cy="956310"/>
                    </a:xfrm>
                    <a:prstGeom prst="rect">
                      <a:avLst/>
                    </a:prstGeom>
                  </pic:spPr>
                </pic:pic>
              </a:graphicData>
            </a:graphic>
            <wp14:sizeRelH relativeFrom="page">
              <wp14:pctWidth>0</wp14:pctWidth>
            </wp14:sizeRelH>
            <wp14:sizeRelV relativeFrom="page">
              <wp14:pctHeight>0</wp14:pctHeight>
            </wp14:sizeRelV>
          </wp:anchor>
        </w:drawing>
      </w:r>
      <w:r w:rsidR="00F53277">
        <w:rPr>
          <w:rFonts w:ascii="Arial" w:hAnsi="Arial" w:cs="Arial"/>
          <w:noProof/>
        </w:rPr>
        <w:t>May</w:t>
      </w:r>
      <w:r>
        <w:rPr>
          <w:rFonts w:ascii="Arial" w:hAnsi="Arial" w:cs="Arial"/>
        </w:rPr>
        <w:t xml:space="preserve"> </w:t>
      </w:r>
      <w:r w:rsidR="0021148E">
        <w:rPr>
          <w:rFonts w:ascii="Arial" w:hAnsi="Arial" w:cs="Arial"/>
        </w:rPr>
        <w:t xml:space="preserve">help eligible patients access LIBTAYO and navigate the </w:t>
      </w:r>
      <w:r w:rsidR="00A177A1">
        <w:rPr>
          <w:rFonts w:ascii="Arial" w:hAnsi="Arial" w:cs="Arial"/>
        </w:rPr>
        <w:t xml:space="preserve">health </w:t>
      </w:r>
      <w:r w:rsidR="0021148E">
        <w:rPr>
          <w:rFonts w:ascii="Arial" w:hAnsi="Arial" w:cs="Arial"/>
        </w:rPr>
        <w:t xml:space="preserve">insurance process. </w:t>
      </w:r>
      <w:r w:rsidR="00852EB2" w:rsidRPr="00852EB2">
        <w:rPr>
          <w:rFonts w:ascii="Arial" w:hAnsi="Arial" w:cs="Arial"/>
        </w:rPr>
        <w:t>LIBTAYO Surround provides resources, support, and a dedicated team to help patients throughout their treatment journey.</w:t>
      </w:r>
    </w:p>
    <w:p w14:paraId="3EBC8D0E" w14:textId="77777777" w:rsidR="001F330B" w:rsidRDefault="001F330B" w:rsidP="00852EB2">
      <w:pPr>
        <w:rPr>
          <w:rFonts w:ascii="Helvetica Neue" w:hAnsi="Helvetica Neue" w:cs="Helvetica Neue"/>
          <w:color w:val="000000"/>
          <w:kern w:val="0"/>
          <w:sz w:val="26"/>
          <w:szCs w:val="26"/>
        </w:rPr>
      </w:pPr>
    </w:p>
    <w:p w14:paraId="1F3FFCD5" w14:textId="7A00D70C" w:rsidR="00C4786B" w:rsidRPr="00C04A2A" w:rsidRDefault="00451616" w:rsidP="004516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kern w:val="0"/>
        </w:rPr>
      </w:pPr>
      <w:r w:rsidRPr="00C04A2A">
        <w:rPr>
          <w:rFonts w:ascii="Arial" w:hAnsi="Arial" w:cs="Arial"/>
          <w:color w:val="000000"/>
          <w:kern w:val="0"/>
        </w:rPr>
        <w:t xml:space="preserve">For any questions or concerns, or to report side effects with a Regeneron product for patients enrolled in LIBTAYO Surround, please contact LIBTAYO Surround at </w:t>
      </w:r>
      <w:proofErr w:type="gramStart"/>
      <w:r w:rsidRPr="00C04A2A">
        <w:rPr>
          <w:rFonts w:ascii="Arial" w:hAnsi="Arial" w:cs="Arial"/>
          <w:b/>
          <w:bCs/>
          <w:color w:val="000000"/>
          <w:kern w:val="0"/>
        </w:rPr>
        <w:t>1.877.LIBTAYO</w:t>
      </w:r>
      <w:proofErr w:type="gramEnd"/>
      <w:r w:rsidRPr="00C04A2A">
        <w:rPr>
          <w:rFonts w:ascii="Arial" w:hAnsi="Arial" w:cs="Arial"/>
          <w:color w:val="000000"/>
          <w:kern w:val="0"/>
        </w:rPr>
        <w:t xml:space="preserve"> (1.877.542.8296) </w:t>
      </w:r>
      <w:r w:rsidRPr="00C04A2A">
        <w:rPr>
          <w:rFonts w:ascii="Arial" w:hAnsi="Arial" w:cs="Arial"/>
          <w:b/>
          <w:bCs/>
          <w:color w:val="000000"/>
          <w:kern w:val="0"/>
        </w:rPr>
        <w:t>Option 1</w:t>
      </w:r>
      <w:r w:rsidRPr="00C04A2A">
        <w:rPr>
          <w:rFonts w:ascii="Arial" w:hAnsi="Arial" w:cs="Arial"/>
          <w:color w:val="000000"/>
          <w:kern w:val="0"/>
        </w:rPr>
        <w:t>, Monday–Friday, 8</w:t>
      </w:r>
      <w:r w:rsidR="00017A19" w:rsidRPr="00C04A2A">
        <w:rPr>
          <w:rFonts w:ascii="Arial" w:hAnsi="Arial" w:cs="Arial"/>
          <w:color w:val="000000"/>
          <w:kern w:val="0"/>
        </w:rPr>
        <w:t xml:space="preserve"> </w:t>
      </w:r>
      <w:r w:rsidR="00017A19" w:rsidRPr="00C04A2A">
        <w:rPr>
          <w:rFonts w:ascii="Arial" w:hAnsi="Arial" w:cs="Arial"/>
          <w:color w:val="000000"/>
          <w:kern w:val="0"/>
          <w:sz w:val="18"/>
          <w:szCs w:val="18"/>
        </w:rPr>
        <w:t>AM</w:t>
      </w:r>
      <w:r w:rsidRPr="00C04A2A">
        <w:rPr>
          <w:rFonts w:ascii="Arial" w:hAnsi="Arial" w:cs="Arial"/>
          <w:color w:val="000000"/>
          <w:kern w:val="0"/>
        </w:rPr>
        <w:t>–8</w:t>
      </w:r>
      <w:r w:rsidR="00017A19" w:rsidRPr="00C04A2A">
        <w:rPr>
          <w:rFonts w:ascii="Arial" w:hAnsi="Arial" w:cs="Arial"/>
          <w:color w:val="000000"/>
          <w:kern w:val="0"/>
        </w:rPr>
        <w:t xml:space="preserve"> </w:t>
      </w:r>
      <w:r w:rsidR="00017A19" w:rsidRPr="00C04A2A">
        <w:rPr>
          <w:rFonts w:ascii="Arial" w:hAnsi="Arial" w:cs="Arial"/>
          <w:color w:val="000000"/>
          <w:kern w:val="0"/>
          <w:sz w:val="18"/>
          <w:szCs w:val="18"/>
        </w:rPr>
        <w:t>PM</w:t>
      </w:r>
      <w:r w:rsidR="00017A19" w:rsidRPr="00C04A2A">
        <w:rPr>
          <w:rFonts w:ascii="Arial" w:hAnsi="Arial" w:cs="Arial"/>
          <w:color w:val="000000"/>
          <w:kern w:val="0"/>
        </w:rPr>
        <w:t xml:space="preserve"> </w:t>
      </w:r>
      <w:r w:rsidRPr="00C04A2A">
        <w:rPr>
          <w:rFonts w:ascii="Arial" w:hAnsi="Arial" w:cs="Arial"/>
          <w:color w:val="000000"/>
          <w:kern w:val="0"/>
        </w:rPr>
        <w:t>Eastern time.</w:t>
      </w:r>
    </w:p>
    <w:p w14:paraId="306B1C2D" w14:textId="77777777" w:rsidR="00F53277" w:rsidRDefault="00F53277" w:rsidP="00F53277">
      <w:pPr>
        <w:rPr>
          <w:rFonts w:ascii="Times New Roman" w:eastAsia="Times New Roman" w:hAnsi="Times New Roman" w:cs="Times New Roman"/>
          <w:b/>
          <w:bCs/>
          <w:color w:val="CC0099"/>
          <w:sz w:val="36"/>
          <w:szCs w:val="36"/>
        </w:rPr>
      </w:pPr>
    </w:p>
    <w:p w14:paraId="68A4DB0C" w14:textId="77777777" w:rsidR="00437E66" w:rsidRPr="00BC5DB0" w:rsidRDefault="00437E66" w:rsidP="00437E66">
      <w:pPr>
        <w:rPr>
          <w:rFonts w:ascii="Roboto" w:hAnsi="Roboto" w:cs="Times New Roman"/>
        </w:rPr>
      </w:pPr>
      <w:r w:rsidRPr="00BC5DB0">
        <w:rPr>
          <w:rFonts w:ascii="Roboto" w:eastAsia="Times New Roman" w:hAnsi="Roboto" w:cs="Times New Roman"/>
          <w:b/>
          <w:bCs/>
          <w:color w:val="CC0099"/>
          <w:sz w:val="36"/>
          <w:szCs w:val="36"/>
        </w:rPr>
        <w:t>Indications and Usage</w:t>
      </w:r>
    </w:p>
    <w:p w14:paraId="17743BF2" w14:textId="77777777" w:rsidR="00437E66" w:rsidRPr="00BC5DB0" w:rsidRDefault="00437E66" w:rsidP="0026393F">
      <w:pPr>
        <w:spacing w:line="240" w:lineRule="auto"/>
        <w:rPr>
          <w:rFonts w:ascii="Roboto" w:hAnsi="Roboto" w:cs="Times New Roman"/>
        </w:rPr>
      </w:pPr>
      <w:r w:rsidRPr="00BC5DB0">
        <w:rPr>
          <w:rFonts w:ascii="Roboto" w:hAnsi="Roboto" w:cs="Times New Roman"/>
        </w:rPr>
        <w:t>LIBTAYO in combination with platinum</w:t>
      </w:r>
      <w:r>
        <w:rPr>
          <w:rFonts w:ascii="Roboto" w:hAnsi="Roboto" w:cs="Times New Roman"/>
        </w:rPr>
        <w:t>-</w:t>
      </w:r>
      <w:r w:rsidRPr="00BC5DB0">
        <w:rPr>
          <w:rFonts w:ascii="Roboto" w:hAnsi="Roboto" w:cs="Times New Roman"/>
        </w:rPr>
        <w:t>based chemotherapy is indicated for the first</w:t>
      </w:r>
      <w:r>
        <w:rPr>
          <w:rFonts w:ascii="Roboto" w:hAnsi="Roboto" w:cs="Times New Roman"/>
        </w:rPr>
        <w:t>-</w:t>
      </w:r>
      <w:r w:rsidRPr="00BC5DB0">
        <w:rPr>
          <w:rFonts w:ascii="Roboto" w:hAnsi="Roboto" w:cs="Times New Roman"/>
        </w:rPr>
        <w:t>line treatment of adult patients with non-small cell lung cancer (NSCLC) with no EGFR, ALK or ROS1 aberrations and is locally advanced where patients are not candidates for surgical resection or definitive chemoradiation OR metastatic.</w:t>
      </w:r>
    </w:p>
    <w:p w14:paraId="612C6B8F" w14:textId="77777777" w:rsidR="00437E66" w:rsidRPr="00BC5DB0" w:rsidRDefault="00437E66" w:rsidP="0026393F">
      <w:pPr>
        <w:spacing w:line="240" w:lineRule="auto"/>
        <w:rPr>
          <w:rFonts w:ascii="Roboto" w:hAnsi="Roboto" w:cs="Times New Roman"/>
        </w:rPr>
      </w:pPr>
      <w:r w:rsidRPr="00BC5DB0">
        <w:rPr>
          <w:rFonts w:ascii="Roboto" w:hAnsi="Roboto" w:cs="Times New Roman"/>
        </w:rPr>
        <w:t>LIBTAYO as a single agent is indicated for the first-line treatment of adult patients with NSCLC whose tumors have high PD-L1 expression (tumor proportion score [TPS] ≥50%) as determined by an FDA-approved test, with no EGFR, ALK or ROS1 aberrations, and is locally advanced where patients are not candidates for surgical resection or definitive chemoradiation OR metastatic.</w:t>
      </w:r>
    </w:p>
    <w:p w14:paraId="00273315" w14:textId="77777777" w:rsidR="00437E66" w:rsidRPr="00BC5DB0" w:rsidRDefault="00437E66" w:rsidP="0026393F">
      <w:pPr>
        <w:spacing w:line="240" w:lineRule="auto"/>
        <w:rPr>
          <w:rFonts w:ascii="Roboto" w:hAnsi="Roboto" w:cs="Times New Roman"/>
        </w:rPr>
      </w:pPr>
      <w:r w:rsidRPr="00BC5DB0">
        <w:rPr>
          <w:rFonts w:ascii="Roboto" w:hAnsi="Roboto" w:cs="Times New Roman"/>
        </w:rPr>
        <w:t>LIBTAYO is indicated for the treatment of adult patients with metastatic cutaneous squamous cell carcinoma (</w:t>
      </w:r>
      <w:proofErr w:type="spellStart"/>
      <w:r w:rsidRPr="00BC5DB0">
        <w:rPr>
          <w:rFonts w:ascii="Roboto" w:hAnsi="Roboto" w:cs="Times New Roman"/>
        </w:rPr>
        <w:t>mCSCC</w:t>
      </w:r>
      <w:proofErr w:type="spellEnd"/>
      <w:r w:rsidRPr="00BC5DB0">
        <w:rPr>
          <w:rFonts w:ascii="Roboto" w:hAnsi="Roboto" w:cs="Times New Roman"/>
        </w:rPr>
        <w:t>) or locally advanced CSCC (</w:t>
      </w:r>
      <w:proofErr w:type="spellStart"/>
      <w:r w:rsidRPr="00BC5DB0">
        <w:rPr>
          <w:rFonts w:ascii="Roboto" w:hAnsi="Roboto" w:cs="Times New Roman"/>
        </w:rPr>
        <w:t>laCSCC</w:t>
      </w:r>
      <w:proofErr w:type="spellEnd"/>
      <w:r w:rsidRPr="00BC5DB0">
        <w:rPr>
          <w:rFonts w:ascii="Roboto" w:hAnsi="Roboto" w:cs="Times New Roman"/>
        </w:rPr>
        <w:t>) who are not candidates for curative surgery or curative radiation.</w:t>
      </w:r>
    </w:p>
    <w:p w14:paraId="7ADF4FD8" w14:textId="77777777" w:rsidR="00437E66" w:rsidRPr="00BC5DB0" w:rsidRDefault="00437E66" w:rsidP="0026393F">
      <w:pPr>
        <w:spacing w:line="240" w:lineRule="auto"/>
        <w:rPr>
          <w:rFonts w:ascii="Roboto" w:hAnsi="Roboto" w:cs="Times New Roman"/>
        </w:rPr>
      </w:pPr>
      <w:r w:rsidRPr="00BC5DB0">
        <w:rPr>
          <w:rFonts w:ascii="Roboto" w:hAnsi="Roboto" w:cs="Times New Roman"/>
        </w:rPr>
        <w:t>LIBTAYO is indicated for the adjuvant treatment of adult patients with CSCC at high risk of recurrence after surgery and radiation.</w:t>
      </w:r>
    </w:p>
    <w:p w14:paraId="6406F98B" w14:textId="77777777" w:rsidR="00437E66" w:rsidRPr="00BC5DB0" w:rsidRDefault="00437E66" w:rsidP="0026393F">
      <w:pPr>
        <w:spacing w:line="240" w:lineRule="auto"/>
        <w:rPr>
          <w:rFonts w:ascii="Roboto" w:hAnsi="Roboto" w:cs="Times New Roman"/>
        </w:rPr>
      </w:pPr>
      <w:r w:rsidRPr="00BC5DB0">
        <w:rPr>
          <w:rFonts w:ascii="Roboto" w:hAnsi="Roboto" w:cs="Times New Roman"/>
        </w:rPr>
        <w:lastRenderedPageBreak/>
        <w:t>LIBTAYO is indicated for the treatment of adult patients with locally advanced or metastatic basal cell carcinoma (</w:t>
      </w:r>
      <w:proofErr w:type="spellStart"/>
      <w:r w:rsidRPr="00BC5DB0">
        <w:rPr>
          <w:rFonts w:ascii="Roboto" w:hAnsi="Roboto" w:cs="Times New Roman"/>
        </w:rPr>
        <w:t>laBCC</w:t>
      </w:r>
      <w:proofErr w:type="spellEnd"/>
      <w:r w:rsidRPr="00BC5DB0">
        <w:rPr>
          <w:rFonts w:ascii="Roboto" w:hAnsi="Roboto" w:cs="Times New Roman"/>
        </w:rPr>
        <w:t xml:space="preserve"> or </w:t>
      </w:r>
      <w:proofErr w:type="spellStart"/>
      <w:r w:rsidRPr="00BC5DB0">
        <w:rPr>
          <w:rFonts w:ascii="Roboto" w:hAnsi="Roboto" w:cs="Times New Roman"/>
        </w:rPr>
        <w:t>mBCC</w:t>
      </w:r>
      <w:proofErr w:type="spellEnd"/>
      <w:r w:rsidRPr="00BC5DB0">
        <w:rPr>
          <w:rFonts w:ascii="Roboto" w:hAnsi="Roboto" w:cs="Times New Roman"/>
        </w:rPr>
        <w:t>) who have been previously treated with a hedgehog pathway inhibitor or for whom a hedgehog pathway inhibitor is not appropriate.</w:t>
      </w:r>
    </w:p>
    <w:p w14:paraId="7AA03D1B" w14:textId="77777777" w:rsidR="00437E66" w:rsidRPr="0026393F" w:rsidRDefault="00437E66" w:rsidP="00437E66">
      <w:pPr>
        <w:widowControl w:val="0"/>
        <w:spacing w:before="58" w:line="240" w:lineRule="auto"/>
        <w:ind w:right="-14"/>
        <w:rPr>
          <w:rFonts w:ascii="Roboto" w:eastAsia="Times New Roman" w:hAnsi="Roboto" w:cs="Times New Roman"/>
          <w:b/>
          <w:bCs/>
          <w:color w:val="CC0099"/>
          <w:sz w:val="40"/>
          <w:szCs w:val="40"/>
        </w:rPr>
      </w:pPr>
      <w:r w:rsidRPr="0026393F">
        <w:rPr>
          <w:rFonts w:ascii="Roboto" w:eastAsia="Times New Roman" w:hAnsi="Roboto" w:cs="Times New Roman"/>
          <w:b/>
          <w:bCs/>
          <w:color w:val="CC0099"/>
          <w:sz w:val="40"/>
          <w:szCs w:val="40"/>
        </w:rPr>
        <w:t>Important Safety Information</w:t>
      </w:r>
    </w:p>
    <w:p w14:paraId="70553F6C" w14:textId="77777777" w:rsidR="00437E66" w:rsidRPr="0026393F" w:rsidRDefault="00437E66" w:rsidP="00437E66">
      <w:pPr>
        <w:widowControl w:val="0"/>
        <w:spacing w:before="58" w:after="0" w:line="240" w:lineRule="auto"/>
        <w:ind w:right="-20"/>
        <w:rPr>
          <w:rFonts w:ascii="Roboto" w:eastAsia="Times New Roman" w:hAnsi="Roboto" w:cs="Times New Roman"/>
          <w:b/>
          <w:bCs/>
          <w:color w:val="CC0099"/>
          <w:sz w:val="35"/>
          <w:szCs w:val="35"/>
        </w:rPr>
      </w:pPr>
      <w:r w:rsidRPr="0026393F">
        <w:rPr>
          <w:rFonts w:ascii="Roboto" w:eastAsia="Times New Roman" w:hAnsi="Roboto" w:cs="Times New Roman"/>
          <w:b/>
          <w:bCs/>
          <w:color w:val="276B7C"/>
          <w:sz w:val="35"/>
          <w:szCs w:val="35"/>
        </w:rPr>
        <w:t>Warnings and Precautions</w:t>
      </w:r>
    </w:p>
    <w:p w14:paraId="116F13CA" w14:textId="77777777" w:rsidR="00437E66" w:rsidRPr="0026393F" w:rsidRDefault="00437E66" w:rsidP="00437E66">
      <w:pPr>
        <w:widowControl w:val="0"/>
        <w:spacing w:after="0" w:line="240" w:lineRule="auto"/>
        <w:ind w:right="-20"/>
        <w:rPr>
          <w:rFonts w:ascii="Roboto" w:hAnsi="Roboto" w:cs="Times New Roman"/>
          <w:sz w:val="30"/>
          <w:szCs w:val="30"/>
        </w:rPr>
      </w:pPr>
      <w:r w:rsidRPr="0026393F">
        <w:rPr>
          <w:rFonts w:ascii="Roboto" w:eastAsia="Times New Roman" w:hAnsi="Roboto" w:cs="Times New Roman"/>
          <w:b/>
          <w:bCs/>
          <w:spacing w:val="1"/>
          <w:sz w:val="30"/>
          <w:szCs w:val="30"/>
        </w:rPr>
        <w:t>Severe and Fatal Immune-Mediated Adverse Reactions</w:t>
      </w:r>
    </w:p>
    <w:p w14:paraId="6D56E21B" w14:textId="77777777" w:rsidR="00437E66" w:rsidRPr="0026393F" w:rsidRDefault="00437E66" w:rsidP="0026393F">
      <w:pPr>
        <w:pStyle w:val="C-BodyText"/>
        <w:spacing w:line="240" w:lineRule="auto"/>
        <w:rPr>
          <w:rFonts w:ascii="Roboto" w:hAnsi="Roboto"/>
          <w:color w:val="000000" w:themeColor="text1"/>
          <w:szCs w:val="24"/>
        </w:rPr>
      </w:pPr>
      <w:r w:rsidRPr="0026393F">
        <w:rPr>
          <w:rFonts w:ascii="Roboto" w:hAnsi="Roboto"/>
          <w:szCs w:val="24"/>
        </w:rPr>
        <w:t>Immune-mediated adverse reactions, which may be severe or fatal, can occur in any organ system or tissue at any time after starting treatment. While immune-mediated adverse reactions usually occur during treatment, they can also occur after discontinuation. Immune-mediated adverse reactions affecting more than one body system can occur simultaneously. Early identification and management are essential to ensuring safe use of PD-1/PD-L1</w:t>
      </w:r>
      <w:r w:rsidRPr="0026393F">
        <w:rPr>
          <w:rFonts w:ascii="Roboto" w:hAnsi="Roboto"/>
          <w:color w:val="000000" w:themeColor="text1"/>
          <w:szCs w:val="24"/>
        </w:rPr>
        <w:t>–</w:t>
      </w:r>
      <w:r w:rsidRPr="0026393F">
        <w:rPr>
          <w:rFonts w:ascii="Roboto" w:hAnsi="Roboto"/>
          <w:szCs w:val="24"/>
        </w:rPr>
        <w:t xml:space="preserve">blocking antibodies. The definition of immune-mediated adverse reactions included the required use of systemic corticosteroids or other immunosuppressants and the absence of a clear alternate etiology. Monitor closely for symptoms and signs that may be clinical manifestations of underlying immune-mediated adverse reactions. Evaluate liver enzymes, creatinine, and thyroid function at baseline and periodically during treatment. In cases of suspected immune-mediated adverse reactions, initiate appropriate </w:t>
      </w:r>
      <w:proofErr w:type="gramStart"/>
      <w:r w:rsidRPr="0026393F">
        <w:rPr>
          <w:rFonts w:ascii="Roboto" w:hAnsi="Roboto"/>
          <w:szCs w:val="24"/>
        </w:rPr>
        <w:t>workup</w:t>
      </w:r>
      <w:proofErr w:type="gramEnd"/>
      <w:r w:rsidRPr="0026393F">
        <w:rPr>
          <w:rFonts w:ascii="Roboto" w:hAnsi="Roboto"/>
          <w:szCs w:val="24"/>
        </w:rPr>
        <w:t xml:space="preserve"> to exclude alternative etiologies, including infection. Institute medical management promptly, including specialty consultation as appropriate. </w:t>
      </w:r>
    </w:p>
    <w:p w14:paraId="392D08B7" w14:textId="77777777" w:rsidR="00437E66" w:rsidRPr="0026393F" w:rsidRDefault="00437E66" w:rsidP="00F40C0B">
      <w:pPr>
        <w:pStyle w:val="CommentText"/>
        <w:rPr>
          <w:rFonts w:ascii="Roboto" w:hAnsi="Roboto" w:cs="Times New Roman"/>
          <w:sz w:val="24"/>
          <w:szCs w:val="24"/>
        </w:rPr>
      </w:pPr>
      <w:r w:rsidRPr="0026393F">
        <w:rPr>
          <w:rFonts w:ascii="Roboto" w:hAnsi="Roboto" w:cs="Times New Roman"/>
          <w:sz w:val="24"/>
          <w:szCs w:val="24"/>
        </w:rPr>
        <w:t>Withhold or permanently discontinue LIBTAYO depending on severity of the adverse reaction (see Section 2 Dosage and Administration in the accompanying Full Prescribing Information). In general, if LIBTAYO requires interruption or discontinuation, administer systemic corticosteroid therapy (1 to 2 mg/kg/day prednisone or equivalent) until improvement to Grade 1 or less. Upon improvement to Grade 1 or less, initiate corticosteroid taper and continue to taper over at least 1 month. Consider administration of other systemic immunosuppressants in patients whose immune-mediated adverse reactions are not controlled with corticosteroids. Toxicity management guidelines for adverse reactions that do not necessarily require systemic steroids (e.g., endocrinopathies and dermatologic reactions) are discussed below.</w:t>
      </w:r>
    </w:p>
    <w:p w14:paraId="0FB42555" w14:textId="77777777" w:rsidR="00437E66" w:rsidRPr="0026393F" w:rsidRDefault="00437E66" w:rsidP="0026393F">
      <w:pPr>
        <w:pStyle w:val="C-BodyText"/>
        <w:spacing w:line="240" w:lineRule="auto"/>
        <w:rPr>
          <w:rFonts w:ascii="Roboto" w:hAnsi="Roboto"/>
          <w:color w:val="000000" w:themeColor="text1"/>
          <w:szCs w:val="24"/>
        </w:rPr>
      </w:pPr>
      <w:r w:rsidRPr="0026393F">
        <w:rPr>
          <w:rFonts w:ascii="Roboto" w:hAnsi="Roboto"/>
          <w:color w:val="000000" w:themeColor="text1"/>
          <w:szCs w:val="24"/>
        </w:rPr>
        <w:t xml:space="preserve">The incidence and severity of immune-mediated adverse reactions were similar when LIBTAYO was administered as a single agent or in combination with chemotherapy. </w:t>
      </w:r>
    </w:p>
    <w:p w14:paraId="0D08E0FC" w14:textId="77777777" w:rsidR="00437E66" w:rsidRPr="00BC5DB0" w:rsidRDefault="00437E66" w:rsidP="0026393F">
      <w:pPr>
        <w:spacing w:line="240" w:lineRule="auto"/>
        <w:rPr>
          <w:rFonts w:ascii="Roboto" w:hAnsi="Roboto" w:cs="Times New Roman"/>
        </w:rPr>
      </w:pPr>
      <w:r w:rsidRPr="00BC5DB0">
        <w:rPr>
          <w:rFonts w:ascii="Roboto" w:hAnsi="Roboto" w:cs="Times New Roman"/>
          <w:b/>
          <w:bCs/>
        </w:rPr>
        <w:t>Immune-mediated pneumonitis:</w:t>
      </w:r>
      <w:r w:rsidRPr="00BC5DB0">
        <w:rPr>
          <w:rFonts w:ascii="Roboto" w:hAnsi="Roboto" w:cs="Times New Roman"/>
        </w:rPr>
        <w:t xml:space="preserve"> LIBTAYO can cause immune-mediated pneumonitis. In patients treated with other PD-1/PD-L1</w:t>
      </w:r>
      <w:r w:rsidRPr="00BC5DB0">
        <w:rPr>
          <w:rFonts w:ascii="Roboto" w:hAnsi="Roboto" w:cs="Times New Roman"/>
          <w:color w:val="000000" w:themeColor="text1"/>
        </w:rPr>
        <w:t>–</w:t>
      </w:r>
      <w:r w:rsidRPr="00BC5DB0">
        <w:rPr>
          <w:rFonts w:ascii="Roboto" w:hAnsi="Roboto" w:cs="Times New Roman"/>
        </w:rPr>
        <w:t xml:space="preserve">blocking antibodies, the incidence of pneumonitis is higher in patients who have received prior thoracic radiation. Immune-mediated pneumonitis occurred in 2.6% (33/1281) of patients receiving LIBTAYO, including Grade 4 (0.3%), Grade 3 (0.6%), and Grade 2 (1.6%). Pneumonitis led to permanent discontinuation in 1.3% of patients and withholding of LIBTAYO in 1.4% of patients. Systemic corticosteroids were required in all patients with pneumonitis. </w:t>
      </w:r>
      <w:r w:rsidRPr="00BC5DB0">
        <w:rPr>
          <w:rFonts w:ascii="Roboto" w:hAnsi="Roboto" w:cs="Times New Roman"/>
        </w:rPr>
        <w:lastRenderedPageBreak/>
        <w:t xml:space="preserve">Pneumonitis </w:t>
      </w:r>
      <w:proofErr w:type="gramStart"/>
      <w:r w:rsidRPr="00BC5DB0">
        <w:rPr>
          <w:rFonts w:ascii="Roboto" w:hAnsi="Roboto" w:cs="Times New Roman"/>
        </w:rPr>
        <w:t>resolved</w:t>
      </w:r>
      <w:proofErr w:type="gramEnd"/>
      <w:r w:rsidRPr="00BC5DB0">
        <w:rPr>
          <w:rFonts w:ascii="Roboto" w:hAnsi="Roboto" w:cs="Times New Roman"/>
        </w:rPr>
        <w:t xml:space="preserve"> in 61% of the 33 patients. Of the 18 patients in whom LIBTAYO was withheld, 10 reinitiated after symptom improvement; of these, 4/10 (40%) had recurrence of pneumonitis. </w:t>
      </w:r>
    </w:p>
    <w:p w14:paraId="28ABD261" w14:textId="77777777" w:rsidR="00437E66" w:rsidRPr="00BC5DB0" w:rsidRDefault="00437E66" w:rsidP="0026393F">
      <w:pPr>
        <w:spacing w:line="240" w:lineRule="auto"/>
        <w:rPr>
          <w:rFonts w:ascii="Roboto" w:hAnsi="Roboto" w:cs="Times New Roman"/>
        </w:rPr>
      </w:pPr>
      <w:r w:rsidRPr="00BC5DB0">
        <w:rPr>
          <w:rFonts w:ascii="Roboto" w:hAnsi="Roboto" w:cs="Times New Roman"/>
          <w:b/>
          <w:bCs/>
        </w:rPr>
        <w:t>Immune-mediated colitis:</w:t>
      </w:r>
      <w:r w:rsidRPr="00BC5DB0">
        <w:rPr>
          <w:rFonts w:ascii="Roboto" w:hAnsi="Roboto" w:cs="Times New Roman"/>
        </w:rPr>
        <w:t xml:space="preserve"> LIBTAYO can cause immune-mediated colitis. The primary component of immune-mediated colitis was diarrhea. Cytomegalovirus (CMV) infection/reactivation has been reported in patients with corticosteroid-refractory immune-mediated colitis treated with PD-1/PD-L1</w:t>
      </w:r>
      <w:r w:rsidRPr="00BC5DB0">
        <w:rPr>
          <w:rFonts w:ascii="Roboto" w:hAnsi="Roboto" w:cs="Times New Roman"/>
          <w:color w:val="000000" w:themeColor="text1"/>
        </w:rPr>
        <w:t>–</w:t>
      </w:r>
      <w:r w:rsidRPr="00BC5DB0">
        <w:rPr>
          <w:rFonts w:ascii="Roboto" w:hAnsi="Roboto" w:cs="Times New Roman"/>
        </w:rPr>
        <w:t xml:space="preserve">blocking antibodies. In cases of corticosteroid-refractory immune-mediated colitis, consider repeating infectious workup to exclude alternative etiologies. Immune-mediated colitis occurred in 2% (25/1281) of patients receiving LIBTAYO, including Grade 3 (0.8%) and Grade 2 (0.9%). Colitis led to permanent discontinuation in 0.4% of patients and withholding of LIBTAYO in 1.2% of patients. Systemic corticosteroids were required in all patients with colitis. Colitis </w:t>
      </w:r>
      <w:proofErr w:type="gramStart"/>
      <w:r w:rsidRPr="00BC5DB0">
        <w:rPr>
          <w:rFonts w:ascii="Roboto" w:hAnsi="Roboto" w:cs="Times New Roman"/>
        </w:rPr>
        <w:t>resolved</w:t>
      </w:r>
      <w:proofErr w:type="gramEnd"/>
      <w:r w:rsidRPr="00BC5DB0">
        <w:rPr>
          <w:rFonts w:ascii="Roboto" w:hAnsi="Roboto" w:cs="Times New Roman"/>
        </w:rPr>
        <w:t xml:space="preserve"> in 56% of the 25 patients. Of the 16 patients in whom LIBTAYO was withheld, 6 reinitiated LIBTAYO after symptom improvement; of these, 4/6 (67%) had recurrence.</w:t>
      </w:r>
    </w:p>
    <w:p w14:paraId="62B29ADE" w14:textId="77777777" w:rsidR="00437E66" w:rsidRPr="00BC5DB0" w:rsidRDefault="00437E66" w:rsidP="0026393F">
      <w:pPr>
        <w:spacing w:line="240" w:lineRule="auto"/>
        <w:rPr>
          <w:rFonts w:ascii="Roboto" w:hAnsi="Roboto" w:cs="Times New Roman"/>
        </w:rPr>
      </w:pPr>
      <w:r w:rsidRPr="00BC5DB0">
        <w:rPr>
          <w:rFonts w:ascii="Roboto" w:hAnsi="Roboto" w:cs="Times New Roman"/>
          <w:b/>
          <w:bCs/>
        </w:rPr>
        <w:t>Immune-mediated hepatitis:</w:t>
      </w:r>
      <w:r w:rsidRPr="00BC5DB0">
        <w:rPr>
          <w:rFonts w:ascii="Roboto" w:hAnsi="Roboto" w:cs="Times New Roman"/>
        </w:rPr>
        <w:t xml:space="preserve"> LIBTAYO can cause immune-mediated hepatitis. Immune-mediated hepatitis occurred in 2.4% (31/1281) of patients receiving LIBTAYO, including fatal (&lt;0.1%), Grade 4 (0.3%), Grade 3 (1.6%), and Grade 2 (0.2%). Hepatitis led to permanent discontinuation of LIBTAYO in 1.4% of patients and withholding of LIBTAYO in 0.7% of patients. Systemic corticosteroids were required in all patients with hepatitis. Additional immunosuppression with mycophenolate was required in 13% (4/31) of these patients. Hepatitis </w:t>
      </w:r>
      <w:proofErr w:type="gramStart"/>
      <w:r w:rsidRPr="00BC5DB0">
        <w:rPr>
          <w:rFonts w:ascii="Roboto" w:hAnsi="Roboto" w:cs="Times New Roman"/>
        </w:rPr>
        <w:t>resolved</w:t>
      </w:r>
      <w:proofErr w:type="gramEnd"/>
      <w:r w:rsidRPr="00BC5DB0">
        <w:rPr>
          <w:rFonts w:ascii="Roboto" w:hAnsi="Roboto" w:cs="Times New Roman"/>
        </w:rPr>
        <w:t xml:space="preserve"> in 39% of the 31 patients. Of the 9 patients in whom LIBTAYO was withheld, 5 reinitiated LIBTAYO after symptom improvement; of these, 1/5 (20%) had recurrence. </w:t>
      </w:r>
    </w:p>
    <w:p w14:paraId="78EC295C" w14:textId="77777777" w:rsidR="00437E66" w:rsidRPr="00BC5DB0" w:rsidRDefault="00437E66" w:rsidP="00437E66">
      <w:pPr>
        <w:rPr>
          <w:rFonts w:ascii="Roboto" w:hAnsi="Roboto" w:cs="Times New Roman"/>
        </w:rPr>
      </w:pPr>
      <w:r w:rsidRPr="00BC5DB0">
        <w:rPr>
          <w:rFonts w:ascii="Roboto" w:hAnsi="Roboto" w:cs="Times New Roman"/>
          <w:b/>
        </w:rPr>
        <w:t>Immune-mediated endocrinopathies:</w:t>
      </w:r>
      <w:r w:rsidRPr="00BC5DB0">
        <w:rPr>
          <w:rFonts w:ascii="Roboto" w:hAnsi="Roboto" w:cs="Times New Roman"/>
        </w:rPr>
        <w:t xml:space="preserve"> </w:t>
      </w:r>
    </w:p>
    <w:p w14:paraId="16FBB226" w14:textId="77777777" w:rsidR="00437E66" w:rsidRPr="00BC5DB0" w:rsidRDefault="00437E66" w:rsidP="0026393F">
      <w:pPr>
        <w:pStyle w:val="ListParagraph"/>
        <w:numPr>
          <w:ilvl w:val="0"/>
          <w:numId w:val="1"/>
        </w:numPr>
        <w:spacing w:line="240" w:lineRule="auto"/>
        <w:rPr>
          <w:rFonts w:ascii="Roboto" w:hAnsi="Roboto" w:cs="Times New Roman"/>
        </w:rPr>
      </w:pPr>
      <w:r w:rsidRPr="00BC5DB0">
        <w:rPr>
          <w:rFonts w:ascii="Roboto" w:hAnsi="Roboto" w:cs="Times New Roman"/>
          <w:b/>
        </w:rPr>
        <w:t>Adrenal insufficiency:</w:t>
      </w:r>
      <w:r w:rsidRPr="00BC5DB0">
        <w:rPr>
          <w:rFonts w:ascii="Roboto" w:hAnsi="Roboto" w:cs="Times New Roman"/>
        </w:rPr>
        <w:t xml:space="preserve"> LIBTAYO can cause primary or secondary adrenal insufficiency. For Grade 2 or higher adrenal insufficiency, initiate symptomatic treatment, including hormone replacement as clinically indicated. Withhold LIBTAYO depending on severity. Adrenal insufficiency occurred in 0.5% (6/1281) of patients receiving LIBTAYO, including Grade 3 (0.5%). Adrenal insufficiency led to permanent discontinuation of LIBTAYO in 1 (&lt;0.1%) patient. LIBTAYO was withheld in 1 (&lt;0.1%) patient due to adrenal insufficiency and not reinitiated. Systemic corticosteroids were required in 83% (5/6) patients with adrenal insufficiency; of these, the majority remained on systemic corticosteroids. Adrenal insufficiency had resolved in 17% of the 6 patients</w:t>
      </w:r>
    </w:p>
    <w:p w14:paraId="50EE1BB8" w14:textId="77777777" w:rsidR="00437E66" w:rsidRPr="00BC5DB0" w:rsidRDefault="00437E66" w:rsidP="00437E66">
      <w:pPr>
        <w:pStyle w:val="ListParagraph"/>
        <w:numPr>
          <w:ilvl w:val="0"/>
          <w:numId w:val="1"/>
        </w:numPr>
        <w:autoSpaceDE w:val="0"/>
        <w:autoSpaceDN w:val="0"/>
        <w:adjustRightInd w:val="0"/>
        <w:spacing w:after="0" w:line="240" w:lineRule="auto"/>
        <w:rPr>
          <w:rFonts w:ascii="Roboto" w:eastAsia="TimesNewRoman" w:hAnsi="Roboto" w:cs="Times New Roman"/>
        </w:rPr>
      </w:pPr>
      <w:proofErr w:type="spellStart"/>
      <w:r w:rsidRPr="00BC5DB0">
        <w:rPr>
          <w:rFonts w:ascii="Roboto" w:hAnsi="Roboto" w:cs="Times New Roman"/>
          <w:b/>
          <w:bCs/>
        </w:rPr>
        <w:t>Hypophysitis</w:t>
      </w:r>
      <w:proofErr w:type="spellEnd"/>
      <w:r w:rsidRPr="00BC5DB0">
        <w:rPr>
          <w:rFonts w:ascii="Roboto" w:hAnsi="Roboto" w:cs="Times New Roman"/>
          <w:b/>
          <w:bCs/>
        </w:rPr>
        <w:t>:</w:t>
      </w:r>
      <w:r w:rsidRPr="00BC5DB0">
        <w:rPr>
          <w:rFonts w:ascii="Roboto" w:hAnsi="Roboto" w:cs="Times New Roman"/>
        </w:rPr>
        <w:t xml:space="preserve"> LIBTAYO can cause immune-mediated </w:t>
      </w:r>
      <w:proofErr w:type="spellStart"/>
      <w:r w:rsidRPr="00BC5DB0">
        <w:rPr>
          <w:rFonts w:ascii="Roboto" w:hAnsi="Roboto" w:cs="Times New Roman"/>
        </w:rPr>
        <w:t>hypophysitis</w:t>
      </w:r>
      <w:proofErr w:type="spellEnd"/>
      <w:r w:rsidRPr="00BC5DB0">
        <w:rPr>
          <w:rFonts w:ascii="Roboto" w:hAnsi="Roboto" w:cs="Times New Roman"/>
        </w:rPr>
        <w:t xml:space="preserve">. </w:t>
      </w:r>
      <w:proofErr w:type="spellStart"/>
      <w:r w:rsidRPr="00BC5DB0">
        <w:rPr>
          <w:rFonts w:ascii="Roboto" w:hAnsi="Roboto" w:cs="Times New Roman"/>
        </w:rPr>
        <w:t>Hypophysitis</w:t>
      </w:r>
      <w:proofErr w:type="spellEnd"/>
      <w:r w:rsidRPr="00BC5DB0">
        <w:rPr>
          <w:rFonts w:ascii="Roboto" w:hAnsi="Roboto" w:cs="Times New Roman"/>
        </w:rPr>
        <w:t xml:space="preserve"> can </w:t>
      </w:r>
      <w:proofErr w:type="gramStart"/>
      <w:r w:rsidRPr="00BC5DB0">
        <w:rPr>
          <w:rFonts w:ascii="Roboto" w:hAnsi="Roboto" w:cs="Times New Roman"/>
        </w:rPr>
        <w:t>present with</w:t>
      </w:r>
      <w:proofErr w:type="gramEnd"/>
      <w:r w:rsidRPr="00BC5DB0">
        <w:rPr>
          <w:rFonts w:ascii="Roboto" w:hAnsi="Roboto" w:cs="Times New Roman"/>
        </w:rPr>
        <w:t xml:space="preserve"> acute symptoms associated with mass </w:t>
      </w:r>
      <w:proofErr w:type="gramStart"/>
      <w:r w:rsidRPr="00BC5DB0">
        <w:rPr>
          <w:rFonts w:ascii="Roboto" w:hAnsi="Roboto" w:cs="Times New Roman"/>
        </w:rPr>
        <w:t>effect</w:t>
      </w:r>
      <w:proofErr w:type="gramEnd"/>
      <w:r w:rsidRPr="00BC5DB0">
        <w:rPr>
          <w:rFonts w:ascii="Roboto" w:hAnsi="Roboto" w:cs="Times New Roman"/>
        </w:rPr>
        <w:t xml:space="preserve"> such as headache, photophobia, or visual field defects. </w:t>
      </w:r>
      <w:proofErr w:type="spellStart"/>
      <w:r w:rsidRPr="00BC5DB0">
        <w:rPr>
          <w:rFonts w:ascii="Roboto" w:hAnsi="Roboto" w:cs="Times New Roman"/>
        </w:rPr>
        <w:t>Hypophysitis</w:t>
      </w:r>
      <w:proofErr w:type="spellEnd"/>
      <w:r w:rsidRPr="00BC5DB0">
        <w:rPr>
          <w:rFonts w:ascii="Roboto" w:hAnsi="Roboto" w:cs="Times New Roman"/>
        </w:rPr>
        <w:t xml:space="preserve"> can cause hypopituitarism. Initiate hormone replacement as clinically indicated. Withhold or permanently discontinue depending on severity. </w:t>
      </w:r>
      <w:proofErr w:type="spellStart"/>
      <w:r w:rsidRPr="00BC5DB0">
        <w:rPr>
          <w:rFonts w:ascii="Roboto" w:hAnsi="Roboto" w:cs="Times New Roman"/>
        </w:rPr>
        <w:t>Hypophysitis</w:t>
      </w:r>
      <w:proofErr w:type="spellEnd"/>
      <w:r w:rsidRPr="00BC5DB0">
        <w:rPr>
          <w:rFonts w:ascii="Roboto" w:hAnsi="Roboto" w:cs="Times New Roman"/>
        </w:rPr>
        <w:t xml:space="preserve"> occurred in 0.5% (7/1281) of patients receiving LIBTAYO, </w:t>
      </w:r>
      <w:r w:rsidRPr="00BC5DB0">
        <w:rPr>
          <w:rFonts w:ascii="Roboto" w:eastAsia="TimesNewRoman" w:hAnsi="Roboto" w:cs="Times New Roman"/>
        </w:rPr>
        <w:t xml:space="preserve">including Grade 3 (0.2%) and Grade 2 (0.3%) adverse reactions. </w:t>
      </w:r>
      <w:proofErr w:type="spellStart"/>
      <w:r w:rsidRPr="00BC5DB0">
        <w:rPr>
          <w:rFonts w:ascii="Roboto" w:eastAsia="TimesNewRoman" w:hAnsi="Roboto" w:cs="Times New Roman"/>
        </w:rPr>
        <w:t>Hypophysitis</w:t>
      </w:r>
      <w:proofErr w:type="spellEnd"/>
      <w:r w:rsidRPr="00BC5DB0">
        <w:rPr>
          <w:rFonts w:ascii="Roboto" w:eastAsia="TimesNewRoman" w:hAnsi="Roboto" w:cs="Times New Roman"/>
        </w:rPr>
        <w:t xml:space="preserve"> led to permanent discontinuation of LIBTAYO in 1 (&lt;0.1%) patient and withholding of LIBTAYO in 2 (0.2%) patients. </w:t>
      </w:r>
      <w:r w:rsidRPr="00BC5DB0">
        <w:rPr>
          <w:rFonts w:ascii="Roboto" w:eastAsia="TimesNewRoman" w:hAnsi="Roboto" w:cs="Times New Roman"/>
        </w:rPr>
        <w:lastRenderedPageBreak/>
        <w:t xml:space="preserve">Systemic corticosteroids were required in 86% (6/7) of patients with </w:t>
      </w:r>
      <w:proofErr w:type="spellStart"/>
      <w:r w:rsidRPr="00BC5DB0">
        <w:rPr>
          <w:rFonts w:ascii="Roboto" w:eastAsia="TimesNewRoman" w:hAnsi="Roboto" w:cs="Times New Roman"/>
        </w:rPr>
        <w:t>hypophysitis</w:t>
      </w:r>
      <w:proofErr w:type="spellEnd"/>
      <w:r w:rsidRPr="00BC5DB0">
        <w:rPr>
          <w:rFonts w:ascii="Roboto" w:eastAsia="TimesNewRoman" w:hAnsi="Roboto" w:cs="Times New Roman"/>
        </w:rPr>
        <w:t xml:space="preserve">. </w:t>
      </w:r>
      <w:proofErr w:type="spellStart"/>
      <w:r w:rsidRPr="00BC5DB0">
        <w:rPr>
          <w:rFonts w:ascii="Roboto" w:eastAsia="TimesNewRoman" w:hAnsi="Roboto" w:cs="Times New Roman"/>
        </w:rPr>
        <w:t>Hypophysitis</w:t>
      </w:r>
      <w:proofErr w:type="spellEnd"/>
      <w:r w:rsidRPr="00BC5DB0">
        <w:rPr>
          <w:rFonts w:ascii="Roboto" w:eastAsia="TimesNewRoman" w:hAnsi="Roboto" w:cs="Times New Roman"/>
        </w:rPr>
        <w:t xml:space="preserve"> </w:t>
      </w:r>
      <w:proofErr w:type="gramStart"/>
      <w:r w:rsidRPr="00BC5DB0">
        <w:rPr>
          <w:rFonts w:ascii="Roboto" w:eastAsia="TimesNewRoman" w:hAnsi="Roboto" w:cs="Times New Roman"/>
        </w:rPr>
        <w:t>resolved</w:t>
      </w:r>
      <w:proofErr w:type="gramEnd"/>
      <w:r w:rsidRPr="00BC5DB0">
        <w:rPr>
          <w:rFonts w:ascii="Roboto" w:eastAsia="TimesNewRoman" w:hAnsi="Roboto" w:cs="Times New Roman"/>
        </w:rPr>
        <w:t xml:space="preserve"> in 14% of the 7 patients. Of the 2 patients in whom LIBTAYO was withheld for </w:t>
      </w:r>
      <w:proofErr w:type="spellStart"/>
      <w:r w:rsidRPr="00BC5DB0">
        <w:rPr>
          <w:rFonts w:ascii="Roboto" w:eastAsia="TimesNewRoman" w:hAnsi="Roboto" w:cs="Times New Roman"/>
        </w:rPr>
        <w:t>hypophysitis</w:t>
      </w:r>
      <w:proofErr w:type="spellEnd"/>
      <w:r w:rsidRPr="00BC5DB0">
        <w:rPr>
          <w:rFonts w:ascii="Roboto" w:eastAsia="TimesNewRoman" w:hAnsi="Roboto" w:cs="Times New Roman"/>
        </w:rPr>
        <w:t>, none of the patients reinitiated</w:t>
      </w:r>
    </w:p>
    <w:p w14:paraId="59AA395C" w14:textId="77777777" w:rsidR="00437E66" w:rsidRPr="00BC5DB0" w:rsidRDefault="00437E66" w:rsidP="00437E66">
      <w:pPr>
        <w:pStyle w:val="ListParagraph"/>
        <w:numPr>
          <w:ilvl w:val="0"/>
          <w:numId w:val="1"/>
        </w:numPr>
        <w:autoSpaceDE w:val="0"/>
        <w:autoSpaceDN w:val="0"/>
        <w:adjustRightInd w:val="0"/>
        <w:spacing w:after="0" w:line="240" w:lineRule="auto"/>
        <w:rPr>
          <w:rFonts w:ascii="Roboto" w:eastAsia="TimesNewRoman" w:hAnsi="Roboto" w:cs="Times New Roman"/>
        </w:rPr>
      </w:pPr>
      <w:r w:rsidRPr="00BC5DB0">
        <w:rPr>
          <w:rFonts w:ascii="Roboto" w:hAnsi="Roboto" w:cs="Times New Roman"/>
          <w:b/>
        </w:rPr>
        <w:t>Thyroid disorders:</w:t>
      </w:r>
      <w:r w:rsidRPr="00BC5DB0">
        <w:rPr>
          <w:rFonts w:ascii="Roboto" w:hAnsi="Roboto" w:cs="Times New Roman"/>
        </w:rPr>
        <w:t xml:space="preserve"> LIBTAYO can cause immune-mediated thyroid disorders. Thyroiditis can present with or without endocrinopathy. Hypothyroidism can follow hyperthyroidism. Initiate hormone replacement or medical management as clinically indicated. Withhold or permanently discontinue LIBTAYO depending on severity </w:t>
      </w:r>
    </w:p>
    <w:p w14:paraId="72675E41" w14:textId="77777777" w:rsidR="00437E66" w:rsidRPr="00BC5DB0" w:rsidRDefault="00437E66" w:rsidP="00437E66">
      <w:pPr>
        <w:pStyle w:val="ListParagraph"/>
        <w:numPr>
          <w:ilvl w:val="0"/>
          <w:numId w:val="1"/>
        </w:numPr>
        <w:autoSpaceDE w:val="0"/>
        <w:autoSpaceDN w:val="0"/>
        <w:adjustRightInd w:val="0"/>
        <w:spacing w:after="0" w:line="240" w:lineRule="auto"/>
        <w:rPr>
          <w:rFonts w:ascii="Roboto" w:hAnsi="Roboto" w:cs="Times New Roman"/>
        </w:rPr>
      </w:pPr>
      <w:r w:rsidRPr="00BC5DB0">
        <w:rPr>
          <w:rFonts w:ascii="Roboto" w:hAnsi="Roboto" w:cs="Times New Roman"/>
          <w:b/>
        </w:rPr>
        <w:t>Thyroiditis:</w:t>
      </w:r>
      <w:r w:rsidRPr="00BC5DB0">
        <w:rPr>
          <w:rFonts w:ascii="Roboto" w:hAnsi="Roboto" w:cs="Times New Roman"/>
        </w:rPr>
        <w:t xml:space="preserve"> Thyroiditis occurred in 0.6% (8/1281) of patients receiving LIBTAYO, including Grade 2 (0.3%) adverse reactions. No patient discontinued LIBTAYO due to thyroiditis. Thyroiditis led to withholding of LIBTAYO in 1 (&lt;0.1%) patient. Systemic corticosteroids were not required in any patient with thyroiditis. Thyroiditis </w:t>
      </w:r>
      <w:proofErr w:type="gramStart"/>
      <w:r w:rsidRPr="00BC5DB0">
        <w:rPr>
          <w:rFonts w:ascii="Roboto" w:hAnsi="Roboto" w:cs="Times New Roman"/>
        </w:rPr>
        <w:t>resolved</w:t>
      </w:r>
      <w:proofErr w:type="gramEnd"/>
      <w:r w:rsidRPr="00BC5DB0">
        <w:rPr>
          <w:rFonts w:ascii="Roboto" w:hAnsi="Roboto" w:cs="Times New Roman"/>
        </w:rPr>
        <w:t xml:space="preserve"> in 13% of the 8 patients. </w:t>
      </w:r>
      <w:proofErr w:type="gramStart"/>
      <w:r w:rsidRPr="00BC5DB0">
        <w:rPr>
          <w:rFonts w:ascii="Roboto" w:hAnsi="Roboto" w:cs="Times New Roman"/>
        </w:rPr>
        <w:t>Blood thyroid stimulating hormone increased and blood</w:t>
      </w:r>
      <w:proofErr w:type="gramEnd"/>
      <w:r w:rsidRPr="00BC5DB0">
        <w:rPr>
          <w:rFonts w:ascii="Roboto" w:hAnsi="Roboto" w:cs="Times New Roman"/>
        </w:rPr>
        <w:t xml:space="preserve"> thyroid stimulating </w:t>
      </w:r>
      <w:proofErr w:type="gramStart"/>
      <w:r w:rsidRPr="00BC5DB0">
        <w:rPr>
          <w:rFonts w:ascii="Roboto" w:hAnsi="Roboto" w:cs="Times New Roman"/>
        </w:rPr>
        <w:t>hormone decreased</w:t>
      </w:r>
      <w:proofErr w:type="gramEnd"/>
      <w:r w:rsidRPr="00BC5DB0">
        <w:rPr>
          <w:rFonts w:ascii="Roboto" w:hAnsi="Roboto" w:cs="Times New Roman"/>
        </w:rPr>
        <w:t xml:space="preserve"> have also been reported</w:t>
      </w:r>
    </w:p>
    <w:p w14:paraId="0297C9AB" w14:textId="77777777" w:rsidR="00437E66" w:rsidRPr="00BC5DB0" w:rsidRDefault="00437E66" w:rsidP="00437E66">
      <w:pPr>
        <w:pStyle w:val="ListParagraph"/>
        <w:numPr>
          <w:ilvl w:val="0"/>
          <w:numId w:val="1"/>
        </w:numPr>
        <w:autoSpaceDE w:val="0"/>
        <w:autoSpaceDN w:val="0"/>
        <w:adjustRightInd w:val="0"/>
        <w:spacing w:after="0" w:line="240" w:lineRule="auto"/>
        <w:rPr>
          <w:rFonts w:ascii="Roboto" w:hAnsi="Roboto" w:cs="Times New Roman"/>
        </w:rPr>
      </w:pPr>
      <w:r w:rsidRPr="00BC5DB0">
        <w:rPr>
          <w:rFonts w:ascii="Roboto" w:hAnsi="Roboto" w:cs="Times New Roman"/>
          <w:b/>
        </w:rPr>
        <w:t>Hyperthyroidism:</w:t>
      </w:r>
      <w:r w:rsidRPr="00BC5DB0">
        <w:rPr>
          <w:rFonts w:ascii="Roboto" w:hAnsi="Roboto" w:cs="Times New Roman"/>
        </w:rPr>
        <w:t xml:space="preserve"> Hyperthyroidism occurred in 3% (39/1281) of patients receiving LIBTAYO, including Grade 3 (&lt;0.1%) and Grade 2 (0.9%). No patient discontinued treatment and LIBTAYO was withheld in 7 (0.5%) patients due to hyperthyroidism. Systemic corticosteroids were required in 8% (3/39) of patients. Hyperthyroidism </w:t>
      </w:r>
      <w:proofErr w:type="gramStart"/>
      <w:r w:rsidRPr="00BC5DB0">
        <w:rPr>
          <w:rFonts w:ascii="Roboto" w:hAnsi="Roboto" w:cs="Times New Roman"/>
        </w:rPr>
        <w:t>resolved</w:t>
      </w:r>
      <w:proofErr w:type="gramEnd"/>
      <w:r w:rsidRPr="00BC5DB0">
        <w:rPr>
          <w:rFonts w:ascii="Roboto" w:hAnsi="Roboto" w:cs="Times New Roman"/>
        </w:rPr>
        <w:t xml:space="preserve"> in 56% of 39 patients. Of the 7 patients in whom LIBTAYO was withheld for hyperthyroidism, 2 patients reinitiated LIBTAYO after symptom improvement; of these, none had recurrence of hyperthyroidism</w:t>
      </w:r>
    </w:p>
    <w:p w14:paraId="142067BC" w14:textId="77777777" w:rsidR="00437E66" w:rsidRPr="00BC5DB0" w:rsidRDefault="00437E66" w:rsidP="00437E66">
      <w:pPr>
        <w:pStyle w:val="ListParagraph"/>
        <w:numPr>
          <w:ilvl w:val="0"/>
          <w:numId w:val="1"/>
        </w:numPr>
        <w:autoSpaceDE w:val="0"/>
        <w:autoSpaceDN w:val="0"/>
        <w:adjustRightInd w:val="0"/>
        <w:spacing w:after="0" w:line="240" w:lineRule="auto"/>
        <w:rPr>
          <w:rFonts w:ascii="Roboto" w:hAnsi="Roboto" w:cs="Times New Roman"/>
        </w:rPr>
      </w:pPr>
      <w:r w:rsidRPr="00BC5DB0">
        <w:rPr>
          <w:rFonts w:ascii="Roboto" w:hAnsi="Roboto" w:cs="Times New Roman"/>
          <w:b/>
        </w:rPr>
        <w:t>Hypothyroidism:</w:t>
      </w:r>
      <w:r w:rsidRPr="00BC5DB0">
        <w:rPr>
          <w:rFonts w:ascii="Roboto" w:hAnsi="Roboto" w:cs="Times New Roman"/>
        </w:rPr>
        <w:t xml:space="preserve"> Hypothyroidism occurred in 7% (87/1281) of patients receiving LIBTAYO, including Grade 3 (&lt;0.1%) and Grade 2 (6%). Hypothyroidism led to permanent discontinuation of LIBTAYO in 3 (0.2%) patients. Hypothyroidism led to withholding of LIBTAYO in 9 (0.7%) patients. Systemic corticosteroids were required in 1.1% (1/87) of patients with hypothyroidism. Hypothyroidism </w:t>
      </w:r>
      <w:proofErr w:type="gramStart"/>
      <w:r w:rsidRPr="00BC5DB0">
        <w:rPr>
          <w:rFonts w:ascii="Roboto" w:hAnsi="Roboto" w:cs="Times New Roman"/>
        </w:rPr>
        <w:t>resolved</w:t>
      </w:r>
      <w:proofErr w:type="gramEnd"/>
      <w:r w:rsidRPr="00BC5DB0">
        <w:rPr>
          <w:rFonts w:ascii="Roboto" w:hAnsi="Roboto" w:cs="Times New Roman"/>
        </w:rPr>
        <w:t xml:space="preserve"> in 6% of the 87 patients. Majority of the patients with hypothyroidism required long-term thyroid hormone replacement. Of the 9 patients in whom LIBTAYO was withheld for hypothyroidism, 1 reinitiated LIBTAYO after symptom improvement and did not have recurrence of hypothyroidism</w:t>
      </w:r>
    </w:p>
    <w:p w14:paraId="3A385D22" w14:textId="77777777" w:rsidR="00437E66" w:rsidRPr="00BC5DB0" w:rsidRDefault="00437E66" w:rsidP="00437E66">
      <w:pPr>
        <w:pStyle w:val="ListParagraph"/>
        <w:numPr>
          <w:ilvl w:val="0"/>
          <w:numId w:val="1"/>
        </w:numPr>
        <w:autoSpaceDE w:val="0"/>
        <w:autoSpaceDN w:val="0"/>
        <w:adjustRightInd w:val="0"/>
        <w:spacing w:after="0" w:line="240" w:lineRule="auto"/>
        <w:rPr>
          <w:rFonts w:ascii="Roboto" w:hAnsi="Roboto" w:cs="Times New Roman"/>
        </w:rPr>
      </w:pPr>
      <w:r w:rsidRPr="00BC5DB0">
        <w:rPr>
          <w:rFonts w:ascii="Roboto" w:hAnsi="Roboto" w:cs="Times New Roman"/>
          <w:b/>
        </w:rPr>
        <w:t xml:space="preserve">Type 1 diabetes mellitus, which can </w:t>
      </w:r>
      <w:proofErr w:type="gramStart"/>
      <w:r w:rsidRPr="00BC5DB0">
        <w:rPr>
          <w:rFonts w:ascii="Roboto" w:hAnsi="Roboto" w:cs="Times New Roman"/>
          <w:b/>
        </w:rPr>
        <w:t>present with</w:t>
      </w:r>
      <w:proofErr w:type="gramEnd"/>
      <w:r w:rsidRPr="00BC5DB0">
        <w:rPr>
          <w:rFonts w:ascii="Roboto" w:hAnsi="Roboto" w:cs="Times New Roman"/>
          <w:b/>
        </w:rPr>
        <w:t xml:space="preserve"> diabetic ketoacidosis: </w:t>
      </w:r>
      <w:r w:rsidRPr="00BC5DB0">
        <w:rPr>
          <w:rFonts w:ascii="Roboto" w:hAnsi="Roboto" w:cs="Times New Roman"/>
        </w:rPr>
        <w:t xml:space="preserve">Monitor for hyperglycemia or other signs and symptoms of diabetes. Initiate treatment with insulin as clinically indicated. Withhold LIBTAYO depending on severity. Type 1 diabetes mellitus occurred in &lt;0.1% (1/1281) of patients (Grade 4). No patient discontinued treatment due to Type 1 diabetes mellitus. Type 1 diabetes mellitus led to withholding of LIBTAYO in 0.1% of patients, treatment was reinitiated after symptom improvement. </w:t>
      </w:r>
      <w:proofErr w:type="gramStart"/>
      <w:r w:rsidRPr="00BC5DB0">
        <w:rPr>
          <w:rFonts w:ascii="Roboto" w:hAnsi="Roboto" w:cs="Times New Roman"/>
        </w:rPr>
        <w:t>Patient</w:t>
      </w:r>
      <w:proofErr w:type="gramEnd"/>
      <w:r w:rsidRPr="00BC5DB0">
        <w:rPr>
          <w:rFonts w:ascii="Roboto" w:hAnsi="Roboto" w:cs="Times New Roman"/>
        </w:rPr>
        <w:t xml:space="preserve"> received long-term insulin therapy</w:t>
      </w:r>
    </w:p>
    <w:p w14:paraId="1F59B6EC" w14:textId="77777777" w:rsidR="00437E66" w:rsidRPr="00BC5DB0" w:rsidRDefault="00437E66" w:rsidP="00437E66">
      <w:pPr>
        <w:pStyle w:val="ListParagraph"/>
        <w:autoSpaceDE w:val="0"/>
        <w:autoSpaceDN w:val="0"/>
        <w:adjustRightInd w:val="0"/>
        <w:spacing w:after="0" w:line="240" w:lineRule="auto"/>
        <w:rPr>
          <w:rFonts w:ascii="Roboto" w:hAnsi="Roboto" w:cs="Times New Roman"/>
          <w:b/>
        </w:rPr>
      </w:pPr>
    </w:p>
    <w:p w14:paraId="4FCB3FD8" w14:textId="77777777" w:rsidR="00437E66" w:rsidRPr="00BC5DB0" w:rsidRDefault="00437E66" w:rsidP="0026393F">
      <w:pPr>
        <w:spacing w:line="240" w:lineRule="auto"/>
        <w:rPr>
          <w:rFonts w:ascii="Roboto" w:hAnsi="Roboto" w:cs="Times New Roman"/>
        </w:rPr>
      </w:pPr>
      <w:r w:rsidRPr="00BC5DB0">
        <w:rPr>
          <w:rFonts w:ascii="Roboto" w:hAnsi="Roboto" w:cs="Times New Roman"/>
          <w:b/>
        </w:rPr>
        <w:t>Immune-mediated nephritis with renal dysfunction:</w:t>
      </w:r>
      <w:r w:rsidRPr="00BC5DB0">
        <w:rPr>
          <w:rFonts w:ascii="Roboto" w:hAnsi="Roboto" w:cs="Times New Roman"/>
        </w:rPr>
        <w:t xml:space="preserve"> LIBTAYO can cause immune-mediated nephritis. Immune-mediated nephritis occurred in 0.7% (9/1281) of patients receiving LIBTAYO, including fatal (&lt;0.1%), Grade 3 (&lt;0.1%), and Grade 2 (0.5%). Nephritis led to permanent discontinuation in 0.2% of patients and withholding of LIBTAYO in 0.4% of patients. Systemic corticosteroids were required in all patients with </w:t>
      </w:r>
      <w:r w:rsidRPr="00BC5DB0">
        <w:rPr>
          <w:rFonts w:ascii="Roboto" w:hAnsi="Roboto" w:cs="Times New Roman"/>
        </w:rPr>
        <w:lastRenderedPageBreak/>
        <w:t xml:space="preserve">nephritis. Nephritis </w:t>
      </w:r>
      <w:proofErr w:type="gramStart"/>
      <w:r w:rsidRPr="00BC5DB0">
        <w:rPr>
          <w:rFonts w:ascii="Roboto" w:hAnsi="Roboto" w:cs="Times New Roman"/>
        </w:rPr>
        <w:t>resolved</w:t>
      </w:r>
      <w:proofErr w:type="gramEnd"/>
      <w:r w:rsidRPr="00BC5DB0">
        <w:rPr>
          <w:rFonts w:ascii="Roboto" w:hAnsi="Roboto" w:cs="Times New Roman"/>
        </w:rPr>
        <w:t xml:space="preserve"> in 78% of the 9 patients. Of the 5 patients in whom LIBTAYO was withheld, 4 reinitiated LIBTAYO after symptom improvement; of these, 1/4 (25%) had recurrence.</w:t>
      </w:r>
    </w:p>
    <w:p w14:paraId="435D1F94" w14:textId="77777777" w:rsidR="00437E66" w:rsidRPr="0026393F" w:rsidRDefault="00437E66" w:rsidP="00F40C0B">
      <w:pPr>
        <w:pStyle w:val="CommentText"/>
        <w:rPr>
          <w:rFonts w:ascii="Roboto" w:hAnsi="Roboto" w:cs="Times New Roman"/>
          <w:sz w:val="24"/>
          <w:szCs w:val="24"/>
        </w:rPr>
      </w:pPr>
      <w:r w:rsidRPr="0026393F">
        <w:rPr>
          <w:rFonts w:ascii="Roboto" w:hAnsi="Roboto" w:cs="Times New Roman"/>
          <w:b/>
          <w:bCs/>
          <w:sz w:val="24"/>
          <w:szCs w:val="24"/>
        </w:rPr>
        <w:t xml:space="preserve">Immune-mediated dermatologic adverse reactions: </w:t>
      </w:r>
      <w:r w:rsidRPr="0026393F">
        <w:rPr>
          <w:rFonts w:ascii="Roboto" w:hAnsi="Roboto" w:cs="Times New Roman"/>
          <w:sz w:val="24"/>
          <w:szCs w:val="24"/>
        </w:rPr>
        <w:t>LIBTAYO can cause immune-mediated rash or dermatitis. Exfoliative dermatitis, including Stevens-Johnson syndrome (SJS), toxic epidermal necrolysis (TEN), and drug rash with eosinophilia and systemic symptoms (DRESS) has occurred with PD-1/PD-L1</w:t>
      </w:r>
      <w:r w:rsidRPr="0026393F">
        <w:rPr>
          <w:rFonts w:ascii="Roboto" w:hAnsi="Roboto" w:cs="Times New Roman"/>
          <w:color w:val="000000" w:themeColor="text1"/>
          <w:sz w:val="24"/>
          <w:szCs w:val="24"/>
        </w:rPr>
        <w:t>–</w:t>
      </w:r>
      <w:r w:rsidRPr="0026393F">
        <w:rPr>
          <w:rFonts w:ascii="Roboto" w:hAnsi="Roboto" w:cs="Times New Roman"/>
          <w:sz w:val="24"/>
          <w:szCs w:val="24"/>
        </w:rPr>
        <w:t xml:space="preserve">blocking antibodies. Immune-mediated dermatologic adverse reactions occurred in 1.9% (24/1281) of patients receiving LIBTAYO, including Grade 3 (0.9%) and Grade 2 (0.8%). Immune-mediated dermatologic adverse reactions led to permanent discontinuation in 0.2% of patients and withholding of LIBTAYO in 1.3% of patients. Systemic corticosteroids were required in all patients with immune-mediated dermatologic adverse reactions. Immune-mediated dermatologic adverse reactions </w:t>
      </w:r>
      <w:proofErr w:type="gramStart"/>
      <w:r w:rsidRPr="0026393F">
        <w:rPr>
          <w:rFonts w:ascii="Roboto" w:hAnsi="Roboto" w:cs="Times New Roman"/>
          <w:sz w:val="24"/>
          <w:szCs w:val="24"/>
        </w:rPr>
        <w:t>resolved</w:t>
      </w:r>
      <w:proofErr w:type="gramEnd"/>
      <w:r w:rsidRPr="0026393F">
        <w:rPr>
          <w:rFonts w:ascii="Roboto" w:hAnsi="Roboto" w:cs="Times New Roman"/>
          <w:sz w:val="24"/>
          <w:szCs w:val="24"/>
        </w:rPr>
        <w:t xml:space="preserve"> in 71% of the 24 patients. Of the 17 patients in whom LIBTAYO was withheld for dermatologic adverse reaction, 13 reinitiated LIBTAYO after symptom improvement; of these, 5/13 (38%) had recurrence of the dermatologic adverse reaction. Topical emollients and/or topical corticosteroids may be adequate to treat mild to moderate non-exfoliative rashes.</w:t>
      </w:r>
    </w:p>
    <w:p w14:paraId="66914FFF" w14:textId="77777777" w:rsidR="00437E66" w:rsidRPr="00BC5DB0" w:rsidRDefault="00437E66" w:rsidP="0026393F">
      <w:pPr>
        <w:spacing w:line="240" w:lineRule="auto"/>
        <w:rPr>
          <w:rFonts w:ascii="Roboto" w:hAnsi="Roboto" w:cs="Times New Roman"/>
        </w:rPr>
      </w:pPr>
      <w:r w:rsidRPr="00BC5DB0">
        <w:rPr>
          <w:rFonts w:ascii="Roboto" w:hAnsi="Roboto" w:cs="Times New Roman"/>
          <w:b/>
        </w:rPr>
        <w:t>Other immune-mediated adverse reactions:</w:t>
      </w:r>
      <w:r w:rsidRPr="00BC5DB0">
        <w:rPr>
          <w:rFonts w:ascii="Roboto" w:hAnsi="Roboto" w:cs="Times New Roman"/>
        </w:rPr>
        <w:t xml:space="preserve"> The following clinically significant immune-mediated adverse reactions occurred at an incidence of &lt;1% in 1281 patients who received LIBTAYO or were reported with the use of other PD-1/PD-L1</w:t>
      </w:r>
      <w:r w:rsidRPr="00BC5DB0">
        <w:rPr>
          <w:rFonts w:ascii="Roboto" w:hAnsi="Roboto" w:cs="Times New Roman"/>
          <w:color w:val="000000" w:themeColor="text1"/>
        </w:rPr>
        <w:t>–</w:t>
      </w:r>
      <w:r w:rsidRPr="00BC5DB0">
        <w:rPr>
          <w:rFonts w:ascii="Roboto" w:hAnsi="Roboto" w:cs="Times New Roman"/>
        </w:rPr>
        <w:t xml:space="preserve">blocking antibodies. Severe or fatal cases have been reported for some of these adverse reactions. </w:t>
      </w:r>
    </w:p>
    <w:p w14:paraId="6FB6E4AB" w14:textId="77777777" w:rsidR="00437E66" w:rsidRPr="00BC5DB0" w:rsidRDefault="00437E66" w:rsidP="00437E66">
      <w:pPr>
        <w:pStyle w:val="ListParagraph"/>
        <w:numPr>
          <w:ilvl w:val="0"/>
          <w:numId w:val="4"/>
        </w:numPr>
        <w:spacing w:line="259" w:lineRule="auto"/>
        <w:rPr>
          <w:rFonts w:ascii="Roboto" w:hAnsi="Roboto" w:cs="Times New Roman"/>
        </w:rPr>
      </w:pPr>
      <w:r w:rsidRPr="00BC5DB0">
        <w:rPr>
          <w:rFonts w:ascii="Roboto" w:hAnsi="Roboto" w:cs="Times New Roman"/>
          <w:b/>
        </w:rPr>
        <w:t>Cardiac/vascular:</w:t>
      </w:r>
      <w:r w:rsidRPr="00BC5DB0">
        <w:rPr>
          <w:rFonts w:ascii="Roboto" w:hAnsi="Roboto" w:cs="Times New Roman"/>
        </w:rPr>
        <w:t xml:space="preserve"> Myocarditis, pericarditis, and vasculitis. Permanently discontinue for Grades 2, 3, or 4 myocarditis </w:t>
      </w:r>
    </w:p>
    <w:p w14:paraId="566F57B3" w14:textId="77777777" w:rsidR="00437E66" w:rsidRPr="00BC5DB0" w:rsidRDefault="00437E66" w:rsidP="00437E66">
      <w:pPr>
        <w:pStyle w:val="ListParagraph"/>
        <w:numPr>
          <w:ilvl w:val="0"/>
          <w:numId w:val="2"/>
        </w:numPr>
        <w:spacing w:line="259" w:lineRule="auto"/>
        <w:rPr>
          <w:rFonts w:ascii="Roboto" w:hAnsi="Roboto" w:cs="Times New Roman"/>
        </w:rPr>
      </w:pPr>
      <w:r w:rsidRPr="00BC5DB0">
        <w:rPr>
          <w:rFonts w:ascii="Roboto" w:hAnsi="Roboto" w:cs="Times New Roman"/>
          <w:b/>
        </w:rPr>
        <w:t>Nervous system:</w:t>
      </w:r>
      <w:r w:rsidRPr="00BC5DB0">
        <w:rPr>
          <w:rFonts w:ascii="Roboto" w:hAnsi="Roboto" w:cs="Times New Roman"/>
        </w:rPr>
        <w:t xml:space="preserve"> Meningitis, encephalitis, myelitis and demyelination, myasthenic syndrome/myasthenia gravis (including exacerbation), Guillain-Barré syndrome, nerve paresis, and autoimmune neuropathy </w:t>
      </w:r>
    </w:p>
    <w:p w14:paraId="0884574E" w14:textId="77777777" w:rsidR="00437E66" w:rsidRPr="00BC5DB0" w:rsidRDefault="00437E66" w:rsidP="00437E66">
      <w:pPr>
        <w:pStyle w:val="ListParagraph"/>
        <w:numPr>
          <w:ilvl w:val="0"/>
          <w:numId w:val="2"/>
        </w:numPr>
        <w:spacing w:line="259" w:lineRule="auto"/>
        <w:rPr>
          <w:rFonts w:ascii="Roboto" w:hAnsi="Roboto" w:cs="Times New Roman"/>
        </w:rPr>
      </w:pPr>
      <w:r w:rsidRPr="00BC5DB0">
        <w:rPr>
          <w:rFonts w:ascii="Roboto" w:hAnsi="Roboto" w:cs="Times New Roman"/>
          <w:b/>
        </w:rPr>
        <w:t>Ocular:</w:t>
      </w:r>
      <w:r w:rsidRPr="00BC5DB0">
        <w:rPr>
          <w:rFonts w:ascii="Roboto" w:hAnsi="Roboto" w:cs="Times New Roman"/>
        </w:rPr>
        <w:t xml:space="preserve"> Uveitis, iritis, and other ocular inflammatory toxicities. Some cases can be associated with retinal detachment. Various grades of visual impairment to include blindness can occur. If uveitis occurs in combination with other immune-mediated adverse reactions, consider a Vogt-Koyanagi-Harada–like syndrome, as this may require treatment with systemic steroids to reduce the risk of permanent vision loss</w:t>
      </w:r>
    </w:p>
    <w:p w14:paraId="581606AE" w14:textId="77777777" w:rsidR="00437E66" w:rsidRPr="00BC5DB0" w:rsidRDefault="00437E66" w:rsidP="00437E66">
      <w:pPr>
        <w:pStyle w:val="ListParagraph"/>
        <w:numPr>
          <w:ilvl w:val="0"/>
          <w:numId w:val="2"/>
        </w:numPr>
        <w:spacing w:line="259" w:lineRule="auto"/>
        <w:rPr>
          <w:rFonts w:ascii="Roboto" w:hAnsi="Roboto" w:cs="Times New Roman"/>
        </w:rPr>
      </w:pPr>
      <w:r w:rsidRPr="00BC5DB0">
        <w:rPr>
          <w:rFonts w:ascii="Roboto" w:hAnsi="Roboto" w:cs="Times New Roman"/>
          <w:b/>
        </w:rPr>
        <w:t>Gastrointestinal:</w:t>
      </w:r>
      <w:r w:rsidRPr="00BC5DB0">
        <w:rPr>
          <w:rFonts w:ascii="Roboto" w:hAnsi="Roboto" w:cs="Times New Roman"/>
        </w:rPr>
        <w:t xml:space="preserve"> Pancreatitis to include increases in serum amylase and lipase levels, gastritis, duodenitis, stomatitis</w:t>
      </w:r>
    </w:p>
    <w:p w14:paraId="600B15A7" w14:textId="77777777" w:rsidR="00437E66" w:rsidRPr="00BC5DB0" w:rsidRDefault="00437E66" w:rsidP="00437E66">
      <w:pPr>
        <w:pStyle w:val="ListParagraph"/>
        <w:numPr>
          <w:ilvl w:val="0"/>
          <w:numId w:val="2"/>
        </w:numPr>
        <w:spacing w:line="259" w:lineRule="auto"/>
        <w:rPr>
          <w:rFonts w:ascii="Roboto" w:hAnsi="Roboto" w:cs="Times New Roman"/>
        </w:rPr>
      </w:pPr>
      <w:r w:rsidRPr="00BC5DB0">
        <w:rPr>
          <w:rFonts w:ascii="Roboto" w:hAnsi="Roboto" w:cs="Times New Roman"/>
          <w:b/>
        </w:rPr>
        <w:t>Musculoskeletal and connective tissue:</w:t>
      </w:r>
      <w:r w:rsidRPr="00BC5DB0">
        <w:rPr>
          <w:rFonts w:ascii="Roboto" w:hAnsi="Roboto" w:cs="Times New Roman"/>
        </w:rPr>
        <w:t xml:space="preserve"> Myositis/polymyositis/dermatomyositis, rhabdomyolysis, and associated sequelae including renal failure, arthritis, polymyalgia rheumatica</w:t>
      </w:r>
    </w:p>
    <w:p w14:paraId="244A9CB5" w14:textId="77777777" w:rsidR="00437E66" w:rsidRPr="00BC5DB0" w:rsidRDefault="00437E66" w:rsidP="00437E66">
      <w:pPr>
        <w:pStyle w:val="ListParagraph"/>
        <w:numPr>
          <w:ilvl w:val="0"/>
          <w:numId w:val="2"/>
        </w:numPr>
        <w:spacing w:line="259" w:lineRule="auto"/>
        <w:rPr>
          <w:rFonts w:ascii="Roboto" w:hAnsi="Roboto" w:cs="Times New Roman"/>
        </w:rPr>
      </w:pPr>
      <w:r w:rsidRPr="00BC5DB0">
        <w:rPr>
          <w:rFonts w:ascii="Roboto" w:hAnsi="Roboto" w:cs="Times New Roman"/>
          <w:b/>
        </w:rPr>
        <w:t>Endocrine:</w:t>
      </w:r>
      <w:r w:rsidRPr="00BC5DB0">
        <w:rPr>
          <w:rFonts w:ascii="Roboto" w:hAnsi="Roboto" w:cs="Times New Roman"/>
        </w:rPr>
        <w:t xml:space="preserve"> Hypoparathyroidism</w:t>
      </w:r>
    </w:p>
    <w:p w14:paraId="5D6A9AF4" w14:textId="77777777" w:rsidR="00437E66" w:rsidRPr="00BC5DB0" w:rsidRDefault="00437E66" w:rsidP="00437E66">
      <w:pPr>
        <w:pStyle w:val="ListParagraph"/>
        <w:numPr>
          <w:ilvl w:val="0"/>
          <w:numId w:val="2"/>
        </w:numPr>
        <w:spacing w:line="259" w:lineRule="auto"/>
        <w:rPr>
          <w:rFonts w:ascii="Roboto" w:hAnsi="Roboto" w:cs="Times New Roman"/>
        </w:rPr>
      </w:pPr>
      <w:r w:rsidRPr="00BC5DB0">
        <w:rPr>
          <w:rFonts w:ascii="Roboto" w:hAnsi="Roboto" w:cs="Times New Roman"/>
          <w:b/>
        </w:rPr>
        <w:t>Other (hematologic/immune):</w:t>
      </w:r>
      <w:r w:rsidRPr="00BC5DB0">
        <w:rPr>
          <w:rFonts w:ascii="Roboto" w:hAnsi="Roboto" w:cs="Times New Roman"/>
        </w:rPr>
        <w:t xml:space="preserve"> Hemolytic anemia, aplastic anemia, hemophagocytic </w:t>
      </w:r>
      <w:proofErr w:type="spellStart"/>
      <w:r w:rsidRPr="00BC5DB0">
        <w:rPr>
          <w:rFonts w:ascii="Roboto" w:hAnsi="Roboto" w:cs="Times New Roman"/>
        </w:rPr>
        <w:t>lymphohistiocytosis</w:t>
      </w:r>
      <w:proofErr w:type="spellEnd"/>
      <w:r w:rsidRPr="00BC5DB0">
        <w:rPr>
          <w:rFonts w:ascii="Roboto" w:hAnsi="Roboto" w:cs="Times New Roman"/>
        </w:rPr>
        <w:t xml:space="preserve"> (HLH), systemic inflammatory response </w:t>
      </w:r>
      <w:r w:rsidRPr="00BC5DB0">
        <w:rPr>
          <w:rFonts w:ascii="Roboto" w:hAnsi="Roboto" w:cs="Times New Roman"/>
        </w:rPr>
        <w:lastRenderedPageBreak/>
        <w:t xml:space="preserve">syndrome, histiocytic necrotizing lymphadenitis (Kikuchi lymphadenitis), sarcoidosis, immune thrombocytopenia, solid organ transplant rejection, other transplant (including corneal graft) rejection </w:t>
      </w:r>
    </w:p>
    <w:p w14:paraId="5DC75C41" w14:textId="77777777" w:rsidR="00437E66" w:rsidRPr="0026393F" w:rsidRDefault="00437E66" w:rsidP="0026393F">
      <w:pPr>
        <w:spacing w:line="240" w:lineRule="auto"/>
        <w:rPr>
          <w:rFonts w:ascii="Roboto" w:hAnsi="Roboto" w:cs="Times New Roman"/>
          <w:b/>
          <w:sz w:val="30"/>
          <w:szCs w:val="30"/>
        </w:rPr>
      </w:pPr>
      <w:r w:rsidRPr="0026393F">
        <w:rPr>
          <w:rFonts w:ascii="Roboto" w:hAnsi="Roboto" w:cs="Times New Roman"/>
          <w:b/>
          <w:sz w:val="30"/>
          <w:szCs w:val="30"/>
        </w:rPr>
        <w:t>Infusion-Related Reactions</w:t>
      </w:r>
    </w:p>
    <w:p w14:paraId="442B0CBE" w14:textId="77777777" w:rsidR="00437E66" w:rsidRPr="00BC5DB0" w:rsidRDefault="00437E66" w:rsidP="0026393F">
      <w:pPr>
        <w:spacing w:line="240" w:lineRule="auto"/>
        <w:rPr>
          <w:rFonts w:ascii="Roboto" w:hAnsi="Roboto" w:cs="Times New Roman"/>
        </w:rPr>
      </w:pPr>
      <w:r w:rsidRPr="00BC5DB0">
        <w:rPr>
          <w:rFonts w:ascii="Roboto" w:hAnsi="Roboto" w:cs="Times New Roman"/>
        </w:rPr>
        <w:t xml:space="preserve">Severe or life-threatening infusion-related reactions occurred in 0.2% of patients receiving LIBTAYO as a single agent. Monitor patients for signs and symptoms of infusion-related reactions. Common symptoms of infusion-related </w:t>
      </w:r>
      <w:proofErr w:type="gramStart"/>
      <w:r w:rsidRPr="00BC5DB0">
        <w:rPr>
          <w:rFonts w:ascii="Roboto" w:hAnsi="Roboto" w:cs="Times New Roman"/>
        </w:rPr>
        <w:t>reaction</w:t>
      </w:r>
      <w:proofErr w:type="gramEnd"/>
      <w:r w:rsidRPr="00BC5DB0">
        <w:rPr>
          <w:rFonts w:ascii="Roboto" w:hAnsi="Roboto" w:cs="Times New Roman"/>
        </w:rPr>
        <w:t xml:space="preserve"> include nausea, pyrexia, and vomiting. Interrupt or slow the rate of infusion or permanently discontinue LIBTAYO based on severity of reaction.</w:t>
      </w:r>
    </w:p>
    <w:p w14:paraId="4294BAC7" w14:textId="77777777" w:rsidR="00437E66" w:rsidRPr="0026393F" w:rsidRDefault="00437E66" w:rsidP="0026393F">
      <w:pPr>
        <w:spacing w:line="240" w:lineRule="auto"/>
        <w:rPr>
          <w:rFonts w:ascii="Roboto" w:hAnsi="Roboto" w:cs="Times New Roman"/>
          <w:b/>
          <w:sz w:val="30"/>
          <w:szCs w:val="30"/>
        </w:rPr>
      </w:pPr>
      <w:r w:rsidRPr="0026393F">
        <w:rPr>
          <w:rFonts w:ascii="Roboto" w:hAnsi="Roboto" w:cs="Times New Roman"/>
          <w:b/>
          <w:sz w:val="30"/>
          <w:szCs w:val="30"/>
        </w:rPr>
        <w:t xml:space="preserve">Complications of Allogeneic HSCT </w:t>
      </w:r>
    </w:p>
    <w:p w14:paraId="5ECE3165" w14:textId="7B13BB9B" w:rsidR="00437E66" w:rsidRPr="00BC5DB0" w:rsidRDefault="00437E66" w:rsidP="0026393F">
      <w:pPr>
        <w:spacing w:line="240" w:lineRule="auto"/>
        <w:rPr>
          <w:rFonts w:ascii="Roboto" w:hAnsi="Roboto" w:cs="Times New Roman"/>
        </w:rPr>
      </w:pPr>
      <w:r w:rsidRPr="00BC5DB0">
        <w:rPr>
          <w:rFonts w:ascii="Roboto" w:hAnsi="Roboto" w:cs="Times New Roman"/>
        </w:rPr>
        <w:t xml:space="preserve">Fatal and other serious complications can occur in patients who receive allogeneic hematopoietic stem cell transplantation (HSCT) before or after being treated with a </w:t>
      </w:r>
      <w:r w:rsidR="00FD571A">
        <w:rPr>
          <w:rFonts w:ascii="Roboto" w:hAnsi="Roboto" w:cs="Times New Roman"/>
        </w:rPr>
        <w:t xml:space="preserve">   </w:t>
      </w:r>
      <w:r w:rsidRPr="00BC5DB0">
        <w:rPr>
          <w:rFonts w:ascii="Roboto" w:hAnsi="Roboto" w:cs="Times New Roman"/>
        </w:rPr>
        <w:t>PD-1/PD-L1</w:t>
      </w:r>
      <w:r w:rsidRPr="00BC5DB0">
        <w:rPr>
          <w:rFonts w:ascii="Roboto" w:hAnsi="Roboto" w:cs="Times New Roman"/>
          <w:color w:val="000000" w:themeColor="text1"/>
        </w:rPr>
        <w:t>–</w:t>
      </w:r>
      <w:r w:rsidRPr="00BC5DB0">
        <w:rPr>
          <w:rFonts w:ascii="Roboto" w:hAnsi="Roboto" w:cs="Times New Roman"/>
        </w:rPr>
        <w:t xml:space="preserve">blocking antibody. Transplant-related complications include hyperacute graft-versus-host disease (GVHD), acute GVHD, chronic GVHD, hepatic </w:t>
      </w:r>
      <w:proofErr w:type="spellStart"/>
      <w:r w:rsidRPr="00BC5DB0">
        <w:rPr>
          <w:rFonts w:ascii="Roboto" w:hAnsi="Roboto" w:cs="Times New Roman"/>
        </w:rPr>
        <w:t>veno</w:t>
      </w:r>
      <w:proofErr w:type="spellEnd"/>
      <w:r w:rsidRPr="00BC5DB0">
        <w:rPr>
          <w:rFonts w:ascii="Roboto" w:hAnsi="Roboto" w:cs="Times New Roman"/>
        </w:rPr>
        <w:t>-occlusive disease (VOD) after reduced intensity conditioning, and steroid-requiring febrile syndrome (without an identified infectious cause). These complications may occur despite intervening therapy between PD-1/PD-L1 blockade and allogeneic HSCT. Follow patients closely for evidence of transplant-related complications and intervene promptly. Consider the benefit versus risks of treatment with a PD-1/PD-L1</w:t>
      </w:r>
      <w:r w:rsidRPr="00BC5DB0">
        <w:rPr>
          <w:rFonts w:ascii="Roboto" w:hAnsi="Roboto" w:cs="Times New Roman"/>
          <w:color w:val="000000" w:themeColor="text1"/>
        </w:rPr>
        <w:t>–</w:t>
      </w:r>
      <w:r w:rsidRPr="00BC5DB0">
        <w:rPr>
          <w:rFonts w:ascii="Roboto" w:hAnsi="Roboto" w:cs="Times New Roman"/>
        </w:rPr>
        <w:t xml:space="preserve">blocking antibody prior to or after an allogeneic HSCT.  </w:t>
      </w:r>
    </w:p>
    <w:p w14:paraId="2749C603" w14:textId="77777777" w:rsidR="00437E66" w:rsidRPr="0026393F" w:rsidRDefault="00437E66" w:rsidP="0026393F">
      <w:pPr>
        <w:spacing w:line="240" w:lineRule="auto"/>
        <w:rPr>
          <w:rFonts w:ascii="Roboto" w:hAnsi="Roboto" w:cs="Times New Roman"/>
          <w:b/>
          <w:sz w:val="30"/>
          <w:szCs w:val="30"/>
        </w:rPr>
      </w:pPr>
      <w:r w:rsidRPr="0026393F">
        <w:rPr>
          <w:rFonts w:ascii="Roboto" w:hAnsi="Roboto" w:cs="Times New Roman"/>
          <w:b/>
          <w:sz w:val="30"/>
          <w:szCs w:val="30"/>
        </w:rPr>
        <w:t>Embryo-Fetal Toxicity</w:t>
      </w:r>
    </w:p>
    <w:p w14:paraId="543E1E28" w14:textId="77777777" w:rsidR="00437E66" w:rsidRPr="00BC5DB0" w:rsidRDefault="00437E66" w:rsidP="0026393F">
      <w:pPr>
        <w:spacing w:line="240" w:lineRule="auto"/>
        <w:rPr>
          <w:rFonts w:ascii="Roboto" w:hAnsi="Roboto" w:cs="Times New Roman"/>
        </w:rPr>
      </w:pPr>
      <w:r w:rsidRPr="00BC5DB0">
        <w:rPr>
          <w:rFonts w:ascii="Roboto" w:hAnsi="Roboto" w:cs="Times New Roman"/>
        </w:rPr>
        <w:t>LIBTAYO can cause fetal harm when administered to a pregnant woman due to an increased risk of immune-mediated rejection of the developing fetus resulting in fetal death. Advise women of the potential risk to a fetus. Advise females of reproductive potential to use effective contraception during treatment with LIBTAYO and for at least 4 months after the last dose.</w:t>
      </w:r>
    </w:p>
    <w:p w14:paraId="6E17BFCB" w14:textId="77777777" w:rsidR="00437E66" w:rsidRPr="0026393F" w:rsidRDefault="00437E66" w:rsidP="00F40C0B">
      <w:pPr>
        <w:widowControl w:val="0"/>
        <w:spacing w:before="58" w:after="0" w:line="240" w:lineRule="auto"/>
        <w:ind w:right="-20"/>
        <w:rPr>
          <w:rFonts w:ascii="Roboto" w:eastAsia="Times New Roman" w:hAnsi="Roboto" w:cs="Times New Roman"/>
          <w:b/>
          <w:bCs/>
          <w:color w:val="276B7C"/>
          <w:sz w:val="35"/>
          <w:szCs w:val="35"/>
        </w:rPr>
      </w:pPr>
      <w:r w:rsidRPr="0026393F">
        <w:rPr>
          <w:rFonts w:ascii="Roboto" w:eastAsia="Times New Roman" w:hAnsi="Roboto" w:cs="Times New Roman"/>
          <w:b/>
          <w:bCs/>
          <w:color w:val="276B7C"/>
          <w:sz w:val="35"/>
          <w:szCs w:val="35"/>
        </w:rPr>
        <w:t>Adverse Reactions</w:t>
      </w:r>
    </w:p>
    <w:p w14:paraId="2025B1BB" w14:textId="77777777" w:rsidR="00437E66" w:rsidRPr="00BC5DB0" w:rsidRDefault="00437E66" w:rsidP="0026393F">
      <w:pPr>
        <w:pStyle w:val="ListParagraph"/>
        <w:spacing w:line="240" w:lineRule="auto"/>
        <w:ind w:left="0"/>
        <w:rPr>
          <w:rFonts w:ascii="Roboto" w:hAnsi="Roboto" w:cs="Times New Roman"/>
          <w:i/>
          <w:iCs/>
        </w:rPr>
      </w:pPr>
    </w:p>
    <w:p w14:paraId="61200476" w14:textId="77777777" w:rsidR="00437E66" w:rsidRPr="00BC5DB0" w:rsidRDefault="00437E66" w:rsidP="0026393F">
      <w:pPr>
        <w:pStyle w:val="ListParagraph"/>
        <w:spacing w:line="240" w:lineRule="auto"/>
        <w:ind w:left="0"/>
        <w:rPr>
          <w:rFonts w:ascii="Roboto" w:hAnsi="Roboto" w:cs="Times New Roman"/>
          <w:b/>
          <w:bCs/>
        </w:rPr>
      </w:pPr>
      <w:r w:rsidRPr="00BC5DB0">
        <w:rPr>
          <w:rFonts w:ascii="Roboto" w:hAnsi="Roboto" w:cs="Times New Roman"/>
          <w:b/>
          <w:bCs/>
        </w:rPr>
        <w:t>The most common adverse reactions (≥15%) are:</w:t>
      </w:r>
    </w:p>
    <w:p w14:paraId="2457FF2E" w14:textId="6CEC3BA7" w:rsidR="00437E66" w:rsidRPr="00BC5DB0" w:rsidRDefault="00437E66" w:rsidP="0026393F">
      <w:pPr>
        <w:pStyle w:val="ListParagraph"/>
        <w:numPr>
          <w:ilvl w:val="0"/>
          <w:numId w:val="5"/>
        </w:numPr>
        <w:spacing w:line="240" w:lineRule="auto"/>
        <w:rPr>
          <w:rFonts w:ascii="Roboto" w:hAnsi="Roboto" w:cs="Times New Roman"/>
          <w:strike/>
        </w:rPr>
      </w:pPr>
      <w:r w:rsidRPr="00BC5DB0">
        <w:rPr>
          <w:rFonts w:ascii="Roboto" w:hAnsi="Roboto" w:cs="Times New Roman"/>
          <w:i/>
          <w:iCs/>
        </w:rPr>
        <w:t xml:space="preserve">As a single agent in </w:t>
      </w:r>
      <w:proofErr w:type="spellStart"/>
      <w:r w:rsidRPr="00BC5DB0">
        <w:rPr>
          <w:rFonts w:ascii="Roboto" w:hAnsi="Roboto" w:cs="Times New Roman"/>
          <w:i/>
          <w:iCs/>
        </w:rPr>
        <w:t>mCSCC</w:t>
      </w:r>
      <w:proofErr w:type="spellEnd"/>
      <w:r w:rsidRPr="00BC5DB0">
        <w:rPr>
          <w:rFonts w:ascii="Roboto" w:hAnsi="Roboto" w:cs="Times New Roman"/>
          <w:i/>
          <w:iCs/>
        </w:rPr>
        <w:t xml:space="preserve"> or </w:t>
      </w:r>
      <w:proofErr w:type="spellStart"/>
      <w:r w:rsidRPr="00BC5DB0">
        <w:rPr>
          <w:rFonts w:ascii="Roboto" w:hAnsi="Roboto" w:cs="Times New Roman"/>
          <w:i/>
          <w:iCs/>
        </w:rPr>
        <w:t>laCSCC</w:t>
      </w:r>
      <w:proofErr w:type="spellEnd"/>
      <w:r w:rsidRPr="00BC5DB0">
        <w:rPr>
          <w:rFonts w:ascii="Roboto" w:hAnsi="Roboto" w:cs="Times New Roman"/>
          <w:i/>
          <w:iCs/>
        </w:rPr>
        <w:t xml:space="preserve">, </w:t>
      </w:r>
      <w:proofErr w:type="spellStart"/>
      <w:r w:rsidRPr="00BC5DB0">
        <w:rPr>
          <w:rFonts w:ascii="Roboto" w:hAnsi="Roboto" w:cs="Times New Roman"/>
          <w:i/>
          <w:iCs/>
        </w:rPr>
        <w:t>mBCC</w:t>
      </w:r>
      <w:proofErr w:type="spellEnd"/>
      <w:r w:rsidRPr="00BC5DB0">
        <w:rPr>
          <w:rFonts w:ascii="Roboto" w:hAnsi="Roboto" w:cs="Times New Roman"/>
          <w:i/>
          <w:iCs/>
        </w:rPr>
        <w:t xml:space="preserve"> or </w:t>
      </w:r>
      <w:proofErr w:type="spellStart"/>
      <w:r w:rsidRPr="00BC5DB0">
        <w:rPr>
          <w:rFonts w:ascii="Roboto" w:hAnsi="Roboto" w:cs="Times New Roman"/>
          <w:i/>
          <w:iCs/>
        </w:rPr>
        <w:t>laBCC</w:t>
      </w:r>
      <w:proofErr w:type="spellEnd"/>
      <w:r w:rsidRPr="00BC5DB0">
        <w:rPr>
          <w:rFonts w:ascii="Roboto" w:hAnsi="Roboto" w:cs="Times New Roman"/>
          <w:i/>
          <w:iCs/>
        </w:rPr>
        <w:t xml:space="preserve">, and NSCLC with high </w:t>
      </w:r>
      <w:r w:rsidR="002D3B03">
        <w:rPr>
          <w:rFonts w:ascii="Roboto" w:hAnsi="Roboto" w:cs="Times New Roman"/>
          <w:i/>
          <w:iCs/>
        </w:rPr>
        <w:t xml:space="preserve">     </w:t>
      </w:r>
      <w:r w:rsidRPr="00BC5DB0">
        <w:rPr>
          <w:rFonts w:ascii="Roboto" w:hAnsi="Roboto" w:cs="Times New Roman"/>
          <w:i/>
          <w:iCs/>
        </w:rPr>
        <w:t xml:space="preserve">PD-L1 </w:t>
      </w:r>
      <w:proofErr w:type="gramStart"/>
      <w:r w:rsidRPr="00BC5DB0">
        <w:rPr>
          <w:rFonts w:ascii="Roboto" w:hAnsi="Roboto" w:cs="Times New Roman"/>
          <w:i/>
          <w:iCs/>
        </w:rPr>
        <w:t>expression</w:t>
      </w:r>
      <w:proofErr w:type="gramEnd"/>
      <w:r w:rsidRPr="00BC5DB0">
        <w:rPr>
          <w:rFonts w:ascii="Roboto" w:hAnsi="Roboto" w:cs="Times New Roman"/>
          <w:i/>
          <w:iCs/>
        </w:rPr>
        <w:t>:</w:t>
      </w:r>
      <w:r w:rsidRPr="00BC5DB0">
        <w:rPr>
          <w:rFonts w:ascii="Roboto" w:hAnsi="Roboto" w:cs="Times New Roman"/>
        </w:rPr>
        <w:t xml:space="preserve"> fatigue, musculoskeletal pain, rash, diarrhea, and anemia </w:t>
      </w:r>
    </w:p>
    <w:p w14:paraId="5EE55928" w14:textId="77777777" w:rsidR="00437E66" w:rsidRPr="00BC5DB0" w:rsidRDefault="00437E66" w:rsidP="0026393F">
      <w:pPr>
        <w:pStyle w:val="ListParagraph"/>
        <w:numPr>
          <w:ilvl w:val="0"/>
          <w:numId w:val="5"/>
        </w:numPr>
        <w:spacing w:line="240" w:lineRule="auto"/>
        <w:rPr>
          <w:rFonts w:ascii="Roboto" w:hAnsi="Roboto" w:cs="Times New Roman"/>
          <w:strike/>
        </w:rPr>
      </w:pPr>
      <w:r w:rsidRPr="00BC5DB0">
        <w:rPr>
          <w:rFonts w:ascii="Roboto" w:hAnsi="Roboto" w:cs="Times New Roman"/>
          <w:i/>
          <w:iCs/>
        </w:rPr>
        <w:t xml:space="preserve">As a single agent in adjuvant CSCC at high risk of recurrence: </w:t>
      </w:r>
      <w:r w:rsidRPr="00BC5DB0">
        <w:rPr>
          <w:rFonts w:ascii="Roboto" w:hAnsi="Roboto" w:cs="Times New Roman"/>
        </w:rPr>
        <w:t>rash and pruritus</w:t>
      </w:r>
    </w:p>
    <w:p w14:paraId="1F9A3E62" w14:textId="77777777" w:rsidR="00437E66" w:rsidRPr="00BC5DB0" w:rsidRDefault="00437E66" w:rsidP="0026393F">
      <w:pPr>
        <w:pStyle w:val="ListParagraph"/>
        <w:numPr>
          <w:ilvl w:val="0"/>
          <w:numId w:val="5"/>
        </w:numPr>
        <w:spacing w:line="240" w:lineRule="auto"/>
        <w:rPr>
          <w:rFonts w:ascii="Roboto" w:hAnsi="Roboto" w:cs="Times New Roman"/>
          <w:i/>
          <w:iCs/>
        </w:rPr>
      </w:pPr>
      <w:r w:rsidRPr="00BC5DB0">
        <w:rPr>
          <w:rFonts w:ascii="Roboto" w:hAnsi="Roboto" w:cs="Times New Roman"/>
          <w:i/>
          <w:iCs/>
        </w:rPr>
        <w:t xml:space="preserve">In combination with platinum-based chemotherapy in NSCLC: </w:t>
      </w:r>
      <w:r w:rsidRPr="00BC5DB0">
        <w:rPr>
          <w:rFonts w:ascii="Roboto" w:hAnsi="Roboto" w:cs="Times New Roman"/>
        </w:rPr>
        <w:t xml:space="preserve">alopecia, musculoskeletal pain, nausea, fatigue, peripheral neuropathy, and decreased appetite </w:t>
      </w:r>
    </w:p>
    <w:p w14:paraId="7B57E9D3" w14:textId="77777777" w:rsidR="00437E66" w:rsidRPr="0026393F" w:rsidRDefault="00437E66" w:rsidP="00F40C0B">
      <w:pPr>
        <w:widowControl w:val="0"/>
        <w:spacing w:before="58" w:after="0" w:line="240" w:lineRule="auto"/>
        <w:ind w:right="-20"/>
        <w:rPr>
          <w:rFonts w:ascii="Roboto" w:hAnsi="Roboto" w:cs="Times New Roman"/>
          <w:sz w:val="35"/>
          <w:szCs w:val="35"/>
          <w:lang w:bidi="en-US"/>
        </w:rPr>
      </w:pPr>
      <w:r w:rsidRPr="0026393F">
        <w:rPr>
          <w:rFonts w:ascii="Roboto" w:eastAsia="Times New Roman" w:hAnsi="Roboto" w:cs="Times New Roman"/>
          <w:b/>
          <w:bCs/>
          <w:color w:val="276B7C"/>
          <w:sz w:val="35"/>
          <w:szCs w:val="35"/>
        </w:rPr>
        <w:t>Use in Specific Populations</w:t>
      </w:r>
    </w:p>
    <w:p w14:paraId="76B234A4" w14:textId="77777777" w:rsidR="00437E66" w:rsidRPr="00BC5DB0" w:rsidRDefault="00437E66" w:rsidP="0026393F">
      <w:pPr>
        <w:pStyle w:val="ListParagraph"/>
        <w:numPr>
          <w:ilvl w:val="0"/>
          <w:numId w:val="3"/>
        </w:numPr>
        <w:spacing w:line="240" w:lineRule="auto"/>
        <w:rPr>
          <w:rFonts w:ascii="Roboto" w:hAnsi="Roboto" w:cs="Times New Roman"/>
        </w:rPr>
      </w:pPr>
      <w:r w:rsidRPr="00BC5DB0">
        <w:rPr>
          <w:rFonts w:ascii="Roboto" w:hAnsi="Roboto" w:cs="Times New Roman"/>
          <w:b/>
        </w:rPr>
        <w:lastRenderedPageBreak/>
        <w:t>Lactation:</w:t>
      </w:r>
      <w:r w:rsidRPr="00BC5DB0">
        <w:rPr>
          <w:rFonts w:ascii="Roboto" w:hAnsi="Roboto" w:cs="Times New Roman"/>
        </w:rPr>
        <w:t xml:space="preserve"> Because of the potential for serious adverse reactions in breastfed children, advise women not to breastfeed during treatment and for at least 4 months after the last dose of LIBTAYO</w:t>
      </w:r>
    </w:p>
    <w:p w14:paraId="2D9A747C" w14:textId="77777777" w:rsidR="00437E66" w:rsidRPr="00BC5DB0" w:rsidRDefault="00437E66" w:rsidP="0026393F">
      <w:pPr>
        <w:pStyle w:val="ListParagraph"/>
        <w:numPr>
          <w:ilvl w:val="0"/>
          <w:numId w:val="3"/>
        </w:numPr>
        <w:spacing w:line="240" w:lineRule="auto"/>
        <w:rPr>
          <w:rFonts w:ascii="Roboto" w:hAnsi="Roboto" w:cs="Times New Roman"/>
        </w:rPr>
      </w:pPr>
      <w:r w:rsidRPr="00BC5DB0">
        <w:rPr>
          <w:rFonts w:ascii="Roboto" w:hAnsi="Roboto" w:cs="Times New Roman"/>
          <w:b/>
        </w:rPr>
        <w:t>Females and males of reproductive potential:</w:t>
      </w:r>
      <w:r w:rsidRPr="00BC5DB0">
        <w:rPr>
          <w:rFonts w:ascii="Roboto" w:hAnsi="Roboto" w:cs="Times New Roman"/>
        </w:rPr>
        <w:t xml:space="preserve"> Verify pregnancy status in females of reproductive potential prior to initiating LIBTAYO</w:t>
      </w:r>
    </w:p>
    <w:p w14:paraId="504ECDB4" w14:textId="77777777" w:rsidR="002E50D6" w:rsidRPr="00776853" w:rsidRDefault="002E50D6" w:rsidP="00F53277">
      <w:pPr>
        <w:rPr>
          <w:rFonts w:ascii="Times New Roman" w:hAnsi="Times New Roman" w:cs="Times New Roman"/>
        </w:rPr>
      </w:pPr>
    </w:p>
    <w:p w14:paraId="226BF816" w14:textId="6784431F" w:rsidR="00C4786B" w:rsidRPr="00C04A2A" w:rsidRDefault="00C4786B" w:rsidP="006A1546">
      <w:pPr>
        <w:rPr>
          <w:rFonts w:ascii="Arial" w:hAnsi="Arial" w:cs="Arial"/>
          <w:b/>
          <w:bCs/>
        </w:rPr>
      </w:pPr>
      <w:r w:rsidRPr="00C04A2A">
        <w:rPr>
          <w:rFonts w:ascii="Arial" w:hAnsi="Arial" w:cs="Arial"/>
          <w:b/>
          <w:bCs/>
        </w:rPr>
        <w:t xml:space="preserve">Please click </w:t>
      </w:r>
      <w:hyperlink r:id="rId10" w:history="1">
        <w:r w:rsidRPr="00C04A2A">
          <w:rPr>
            <w:rStyle w:val="Hyperlink"/>
            <w:rFonts w:ascii="Arial" w:hAnsi="Arial" w:cs="Arial"/>
            <w:b/>
            <w:bCs/>
          </w:rPr>
          <w:t>here</w:t>
        </w:r>
      </w:hyperlink>
      <w:r w:rsidRPr="00C04A2A">
        <w:rPr>
          <w:rFonts w:ascii="Arial" w:hAnsi="Arial" w:cs="Arial"/>
          <w:b/>
          <w:bCs/>
        </w:rPr>
        <w:t xml:space="preserve"> for full Prescribing Information.</w:t>
      </w:r>
    </w:p>
    <w:p w14:paraId="7F9C2A54" w14:textId="77777777" w:rsidR="00424F6D" w:rsidRDefault="00424F6D" w:rsidP="006A1546">
      <w:pPr>
        <w:rPr>
          <w:rFonts w:ascii="Arial" w:hAnsi="Arial" w:cs="Arial"/>
        </w:rPr>
      </w:pPr>
    </w:p>
    <w:p w14:paraId="477F9351" w14:textId="779A903B" w:rsidR="00734540" w:rsidRDefault="00C4786B" w:rsidP="006A1546">
      <w:pPr>
        <w:rPr>
          <w:rFonts w:ascii="Arial" w:hAnsi="Arial" w:cs="Arial"/>
        </w:rPr>
      </w:pPr>
      <w:r w:rsidRPr="00C4786B">
        <w:rPr>
          <w:rFonts w:ascii="Arial" w:hAnsi="Arial" w:cs="Arial"/>
        </w:rPr>
        <w:t xml:space="preserve">For product information about LIBTAYO, click </w:t>
      </w:r>
      <w:hyperlink r:id="rId11" w:history="1">
        <w:r w:rsidRPr="005B6423">
          <w:rPr>
            <w:rStyle w:val="Hyperlink"/>
            <w:rFonts w:ascii="Arial" w:hAnsi="Arial" w:cs="Arial"/>
          </w:rPr>
          <w:t>here</w:t>
        </w:r>
      </w:hyperlink>
      <w:r w:rsidRPr="00C4786B">
        <w:rPr>
          <w:rFonts w:ascii="Arial" w:hAnsi="Arial" w:cs="Arial"/>
        </w:rPr>
        <w:t xml:space="preserve">. For patient support resources, visit </w:t>
      </w:r>
      <w:hyperlink r:id="rId12" w:history="1">
        <w:r w:rsidRPr="00105661">
          <w:rPr>
            <w:rStyle w:val="Hyperlink"/>
            <w:rFonts w:ascii="Arial" w:hAnsi="Arial" w:cs="Arial"/>
          </w:rPr>
          <w:t>LIBTAYO Surround</w:t>
        </w:r>
      </w:hyperlink>
      <w:r w:rsidRPr="00C4786B">
        <w:rPr>
          <w:rFonts w:ascii="Arial" w:hAnsi="Arial" w:cs="Arial"/>
        </w:rPr>
        <w:t xml:space="preserve">.  </w:t>
      </w:r>
    </w:p>
    <w:p w14:paraId="727A12B3" w14:textId="77777777" w:rsidR="00B53515" w:rsidRDefault="00B53515" w:rsidP="006A1546">
      <w:pPr>
        <w:rPr>
          <w:rFonts w:ascii="Arial" w:hAnsi="Arial" w:cs="Arial"/>
        </w:rPr>
      </w:pPr>
    </w:p>
    <w:p w14:paraId="2B36162D" w14:textId="1F71F96A" w:rsidR="00734540" w:rsidRDefault="00C4786B" w:rsidP="006A1546">
      <w:pPr>
        <w:rPr>
          <w:rFonts w:ascii="Arial" w:hAnsi="Arial" w:cs="Arial"/>
        </w:rPr>
      </w:pPr>
      <w:r w:rsidRPr="00C4786B">
        <w:rPr>
          <w:rFonts w:ascii="Arial" w:hAnsi="Arial" w:cs="Arial"/>
        </w:rPr>
        <w:t xml:space="preserve">Thank you, </w:t>
      </w:r>
    </w:p>
    <w:p w14:paraId="148C0D4C" w14:textId="5CD3A70D" w:rsidR="00C4786B" w:rsidRDefault="00C4786B" w:rsidP="006A1546">
      <w:pPr>
        <w:rPr>
          <w:rFonts w:ascii="Arial" w:hAnsi="Arial" w:cs="Arial"/>
          <w:color w:val="FF40FF"/>
        </w:rPr>
      </w:pPr>
      <w:r w:rsidRPr="00734540">
        <w:rPr>
          <w:rFonts w:ascii="Arial" w:hAnsi="Arial" w:cs="Arial"/>
          <w:color w:val="FF40FF"/>
        </w:rPr>
        <w:t>[Signature]</w:t>
      </w:r>
    </w:p>
    <w:p w14:paraId="4E1BD38C" w14:textId="77777777" w:rsidR="00B53515" w:rsidRDefault="00B53515" w:rsidP="006A1546">
      <w:pPr>
        <w:rPr>
          <w:rFonts w:ascii="Arial" w:hAnsi="Arial" w:cs="Arial"/>
        </w:rPr>
      </w:pPr>
    </w:p>
    <w:p w14:paraId="4ED0FDB7" w14:textId="6BD02C26" w:rsidR="0021148E" w:rsidRDefault="0021148E" w:rsidP="0021148E">
      <w:pPr>
        <w:rPr>
          <w:rFonts w:ascii="Arial" w:hAnsi="Arial" w:cs="Arial"/>
          <w:b/>
          <w:bCs/>
        </w:rPr>
      </w:pPr>
      <w:r w:rsidRPr="0021148E">
        <w:rPr>
          <w:rFonts w:ascii="Arial" w:hAnsi="Arial" w:cs="Arial"/>
          <w:b/>
          <w:bCs/>
        </w:rPr>
        <w:t xml:space="preserve">For Colorado Prescribers – </w:t>
      </w:r>
      <w:hyperlink r:id="rId13" w:history="1">
        <w:r w:rsidRPr="0021148E">
          <w:rPr>
            <w:rStyle w:val="Hyperlink"/>
            <w:rFonts w:ascii="Arial" w:hAnsi="Arial" w:cs="Arial"/>
            <w:b/>
            <w:bCs/>
          </w:rPr>
          <w:t xml:space="preserve">Click </w:t>
        </w:r>
        <w:r w:rsidR="00017A19">
          <w:rPr>
            <w:rStyle w:val="Hyperlink"/>
            <w:rFonts w:ascii="Arial" w:hAnsi="Arial" w:cs="Arial"/>
            <w:b/>
            <w:bCs/>
          </w:rPr>
          <w:t>H</w:t>
        </w:r>
        <w:r w:rsidR="00017A19" w:rsidRPr="0021148E">
          <w:rPr>
            <w:rStyle w:val="Hyperlink"/>
            <w:rFonts w:ascii="Arial" w:hAnsi="Arial" w:cs="Arial"/>
            <w:b/>
            <w:bCs/>
          </w:rPr>
          <w:t xml:space="preserve">ere </w:t>
        </w:r>
        <w:r w:rsidRPr="0021148E">
          <w:rPr>
            <w:rStyle w:val="Hyperlink"/>
            <w:rFonts w:ascii="Arial" w:hAnsi="Arial" w:cs="Arial"/>
            <w:b/>
            <w:bCs/>
          </w:rPr>
          <w:t>for Pricing Information</w:t>
        </w:r>
      </w:hyperlink>
    </w:p>
    <w:p w14:paraId="487B7621" w14:textId="7DB9A685" w:rsidR="0021148E" w:rsidRPr="0021148E" w:rsidRDefault="0021148E" w:rsidP="0021148E">
      <w:pPr>
        <w:rPr>
          <w:rFonts w:ascii="Arial" w:hAnsi="Arial" w:cs="Arial"/>
          <w:b/>
          <w:bCs/>
        </w:rPr>
      </w:pPr>
      <w:r w:rsidRPr="0021148E">
        <w:rPr>
          <w:rFonts w:ascii="Arial" w:hAnsi="Arial" w:cs="Arial"/>
          <w:b/>
          <w:bCs/>
        </w:rPr>
        <w:t xml:space="preserve">For </w:t>
      </w:r>
      <w:r>
        <w:rPr>
          <w:rFonts w:ascii="Arial" w:hAnsi="Arial" w:cs="Arial"/>
          <w:b/>
          <w:bCs/>
        </w:rPr>
        <w:t>Connecticut</w:t>
      </w:r>
      <w:r w:rsidRPr="0021148E">
        <w:rPr>
          <w:rFonts w:ascii="Arial" w:hAnsi="Arial" w:cs="Arial"/>
          <w:b/>
          <w:bCs/>
        </w:rPr>
        <w:t xml:space="preserve"> Prescribers – </w:t>
      </w:r>
      <w:hyperlink r:id="rId14" w:history="1">
        <w:r w:rsidRPr="0021148E">
          <w:rPr>
            <w:rStyle w:val="Hyperlink"/>
            <w:rFonts w:ascii="Arial" w:hAnsi="Arial" w:cs="Arial"/>
            <w:b/>
            <w:bCs/>
          </w:rPr>
          <w:t xml:space="preserve">Click </w:t>
        </w:r>
        <w:r w:rsidR="00017A19">
          <w:rPr>
            <w:rStyle w:val="Hyperlink"/>
            <w:rFonts w:ascii="Arial" w:hAnsi="Arial" w:cs="Arial"/>
            <w:b/>
            <w:bCs/>
          </w:rPr>
          <w:t>H</w:t>
        </w:r>
        <w:r w:rsidR="00017A19" w:rsidRPr="0021148E">
          <w:rPr>
            <w:rStyle w:val="Hyperlink"/>
            <w:rFonts w:ascii="Arial" w:hAnsi="Arial" w:cs="Arial"/>
            <w:b/>
            <w:bCs/>
          </w:rPr>
          <w:t xml:space="preserve">ere </w:t>
        </w:r>
        <w:r w:rsidRPr="0021148E">
          <w:rPr>
            <w:rStyle w:val="Hyperlink"/>
            <w:rFonts w:ascii="Arial" w:hAnsi="Arial" w:cs="Arial"/>
            <w:b/>
            <w:bCs/>
          </w:rPr>
          <w:t>for Pricing Information</w:t>
        </w:r>
      </w:hyperlink>
    </w:p>
    <w:p w14:paraId="622F37C5" w14:textId="77777777" w:rsidR="0021148E" w:rsidRPr="0021148E" w:rsidRDefault="0021148E" w:rsidP="0021148E">
      <w:pPr>
        <w:rPr>
          <w:rFonts w:ascii="Arial" w:hAnsi="Arial" w:cs="Arial"/>
          <w:b/>
          <w:bCs/>
        </w:rPr>
      </w:pPr>
    </w:p>
    <w:p w14:paraId="0B470640" w14:textId="502C49E6" w:rsidR="00105661" w:rsidRDefault="00105661" w:rsidP="006A1546">
      <w:pPr>
        <w:rPr>
          <w:rFonts w:ascii="Arial" w:hAnsi="Arial" w:cs="Arial"/>
        </w:rPr>
      </w:pPr>
      <w:r w:rsidRPr="00105661">
        <w:rPr>
          <w:rFonts w:ascii="Arial" w:hAnsi="Arial" w:cs="Arial"/>
        </w:rPr>
        <w:t xml:space="preserve">If you no longer wish to receive LIBTAYO emails, please reply to this message with "Unsubscribe" in the subject line. </w:t>
      </w:r>
    </w:p>
    <w:p w14:paraId="0341A256" w14:textId="77777777" w:rsidR="00105661" w:rsidRDefault="00105661" w:rsidP="006A1546">
      <w:pPr>
        <w:rPr>
          <w:rFonts w:ascii="Arial" w:hAnsi="Arial" w:cs="Arial"/>
        </w:rPr>
      </w:pPr>
      <w:r w:rsidRPr="00105661">
        <w:rPr>
          <w:rFonts w:ascii="Arial" w:hAnsi="Arial" w:cs="Arial"/>
          <w:b/>
          <w:bCs/>
        </w:rPr>
        <w:t>Reference:</w:t>
      </w:r>
      <w:r w:rsidRPr="00105661">
        <w:rPr>
          <w:rFonts w:ascii="Arial" w:hAnsi="Arial" w:cs="Arial"/>
        </w:rPr>
        <w:t xml:space="preserve"> LIBTAYO (</w:t>
      </w:r>
      <w:proofErr w:type="spellStart"/>
      <w:r w:rsidRPr="00105661">
        <w:rPr>
          <w:rFonts w:ascii="Arial" w:hAnsi="Arial" w:cs="Arial"/>
        </w:rPr>
        <w:t>cemiplimab-rwlc</w:t>
      </w:r>
      <w:proofErr w:type="spellEnd"/>
      <w:r w:rsidRPr="00105661">
        <w:rPr>
          <w:rFonts w:ascii="Arial" w:hAnsi="Arial" w:cs="Arial"/>
        </w:rPr>
        <w:t xml:space="preserve">) injection full U.S. Prescribing Information. Regeneron Pharmaceuticals, Inc. </w:t>
      </w:r>
    </w:p>
    <w:p w14:paraId="46DFBB54" w14:textId="77777777" w:rsidR="00B53515" w:rsidRDefault="00B53515" w:rsidP="006A1546">
      <w:pPr>
        <w:rPr>
          <w:rFonts w:ascii="Arial" w:hAnsi="Arial" w:cs="Arial"/>
        </w:rPr>
      </w:pPr>
    </w:p>
    <w:p w14:paraId="1FDD1FE7" w14:textId="1C8F7748" w:rsidR="00105661" w:rsidRDefault="00105661" w:rsidP="006A1546">
      <w:pPr>
        <w:rPr>
          <w:rFonts w:ascii="Arial" w:hAnsi="Arial" w:cs="Arial"/>
        </w:rPr>
      </w:pPr>
      <w:r w:rsidRPr="00105661">
        <w:rPr>
          <w:rFonts w:ascii="Arial" w:hAnsi="Arial" w:cs="Arial"/>
        </w:rPr>
        <w:t xml:space="preserve">If you have a question about a Regeneron product, please call 1-844-643-7346.  </w:t>
      </w:r>
    </w:p>
    <w:p w14:paraId="670EB9AC" w14:textId="77777777" w:rsidR="00105661" w:rsidRDefault="00105661" w:rsidP="00105661">
      <w:pPr>
        <w:spacing w:line="240" w:lineRule="auto"/>
        <w:rPr>
          <w:rFonts w:ascii="Arial" w:hAnsi="Arial" w:cs="Arial"/>
        </w:rPr>
      </w:pPr>
    </w:p>
    <w:p w14:paraId="6724E136" w14:textId="76F1F211" w:rsidR="00105661" w:rsidRDefault="00105661" w:rsidP="008A471A">
      <w:pPr>
        <w:spacing w:after="0" w:line="276" w:lineRule="auto"/>
        <w:rPr>
          <w:rFonts w:ascii="Arial" w:hAnsi="Arial" w:cs="Arial"/>
        </w:rPr>
      </w:pPr>
      <w:r w:rsidRPr="00105661">
        <w:rPr>
          <w:rFonts w:ascii="Arial" w:hAnsi="Arial" w:cs="Arial"/>
        </w:rPr>
        <w:t>©</w:t>
      </w:r>
      <w:r w:rsidR="008A471A">
        <w:rPr>
          <w:rFonts w:ascii="Arial" w:hAnsi="Arial" w:cs="Arial"/>
        </w:rPr>
        <w:t xml:space="preserve"> </w:t>
      </w:r>
      <w:r w:rsidRPr="00105661">
        <w:rPr>
          <w:rFonts w:ascii="Arial" w:hAnsi="Arial" w:cs="Arial"/>
        </w:rPr>
        <w:t>202</w:t>
      </w:r>
      <w:r>
        <w:rPr>
          <w:rFonts w:ascii="Arial" w:hAnsi="Arial" w:cs="Arial"/>
        </w:rPr>
        <w:t>5</w:t>
      </w:r>
      <w:r w:rsidRPr="00105661">
        <w:rPr>
          <w:rFonts w:ascii="Arial" w:hAnsi="Arial" w:cs="Arial"/>
        </w:rPr>
        <w:t xml:space="preserve"> Regeneron Pharmaceuticals, Inc. All rights reserved.  </w:t>
      </w:r>
    </w:p>
    <w:p w14:paraId="22E7CC4C" w14:textId="77777777" w:rsidR="00105661" w:rsidRDefault="00105661" w:rsidP="008A471A">
      <w:pPr>
        <w:spacing w:after="0" w:line="276" w:lineRule="auto"/>
        <w:rPr>
          <w:rFonts w:ascii="Arial" w:hAnsi="Arial" w:cs="Arial"/>
        </w:rPr>
      </w:pPr>
      <w:r w:rsidRPr="00105661">
        <w:rPr>
          <w:rFonts w:ascii="Arial" w:hAnsi="Arial" w:cs="Arial"/>
        </w:rPr>
        <w:t xml:space="preserve">777 Old </w:t>
      </w:r>
      <w:proofErr w:type="gramStart"/>
      <w:r w:rsidRPr="00105661">
        <w:rPr>
          <w:rFonts w:ascii="Arial" w:hAnsi="Arial" w:cs="Arial"/>
        </w:rPr>
        <w:t>Saw Mill</w:t>
      </w:r>
      <w:proofErr w:type="gramEnd"/>
      <w:r w:rsidRPr="00105661">
        <w:rPr>
          <w:rFonts w:ascii="Arial" w:hAnsi="Arial" w:cs="Arial"/>
        </w:rPr>
        <w:t xml:space="preserve"> River Rd, Tarrytown, NY 10591 </w:t>
      </w:r>
    </w:p>
    <w:p w14:paraId="2049515A" w14:textId="10ACA49D" w:rsidR="00105661" w:rsidRPr="00105661" w:rsidRDefault="00105661" w:rsidP="008A471A">
      <w:pPr>
        <w:spacing w:after="0" w:line="276" w:lineRule="auto"/>
        <w:rPr>
          <w:rFonts w:ascii="Arial" w:hAnsi="Arial" w:cs="Arial"/>
        </w:rPr>
      </w:pPr>
      <w:r>
        <w:rPr>
          <w:rFonts w:ascii="Arial" w:hAnsi="Arial" w:cs="Arial"/>
        </w:rPr>
        <w:t>US.</w:t>
      </w:r>
      <w:r w:rsidRPr="00105661">
        <w:rPr>
          <w:rFonts w:ascii="Arial" w:hAnsi="Arial" w:cs="Arial"/>
        </w:rPr>
        <w:t>LIB.</w:t>
      </w:r>
      <w:r>
        <w:rPr>
          <w:rFonts w:ascii="Arial" w:hAnsi="Arial" w:cs="Arial"/>
        </w:rPr>
        <w:t>25</w:t>
      </w:r>
      <w:r w:rsidRPr="00105661">
        <w:rPr>
          <w:rFonts w:ascii="Arial" w:hAnsi="Arial" w:cs="Arial"/>
        </w:rPr>
        <w:t>.05.</w:t>
      </w:r>
      <w:proofErr w:type="gramStart"/>
      <w:r w:rsidRPr="00083F68">
        <w:rPr>
          <w:rFonts w:ascii="Arial" w:hAnsi="Arial" w:cs="Arial"/>
        </w:rPr>
        <w:t xml:space="preserve">0013 </w:t>
      </w:r>
      <w:r w:rsidR="00017A19" w:rsidRPr="00083F68">
        <w:rPr>
          <w:rFonts w:ascii="Arial" w:hAnsi="Arial" w:cs="Arial"/>
        </w:rPr>
        <w:t xml:space="preserve"> </w:t>
      </w:r>
      <w:r w:rsidR="00083F68" w:rsidRPr="0026393F">
        <w:rPr>
          <w:rFonts w:ascii="Arial" w:hAnsi="Arial" w:cs="Arial"/>
        </w:rPr>
        <w:t>10</w:t>
      </w:r>
      <w:proofErr w:type="gramEnd"/>
      <w:r w:rsidRPr="00083F68">
        <w:rPr>
          <w:rFonts w:ascii="Arial" w:hAnsi="Arial" w:cs="Arial"/>
        </w:rPr>
        <w:t>/</w:t>
      </w:r>
      <w:r w:rsidRPr="00105661">
        <w:rPr>
          <w:rFonts w:ascii="Arial" w:hAnsi="Arial" w:cs="Arial"/>
        </w:rPr>
        <w:t>2</w:t>
      </w:r>
      <w:r>
        <w:rPr>
          <w:rFonts w:ascii="Arial" w:hAnsi="Arial" w:cs="Arial"/>
        </w:rPr>
        <w:t>5</w:t>
      </w:r>
    </w:p>
    <w:sectPr w:rsidR="00105661" w:rsidRPr="00105661">
      <w:footerReference w:type="even" r:id="rId15"/>
      <w:footerReference w:type="defaul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92C95" w14:textId="77777777" w:rsidR="004E1220" w:rsidRDefault="004E1220" w:rsidP="004E1220">
      <w:pPr>
        <w:spacing w:after="0" w:line="240" w:lineRule="auto"/>
      </w:pPr>
      <w:r>
        <w:separator/>
      </w:r>
    </w:p>
  </w:endnote>
  <w:endnote w:type="continuationSeparator" w:id="0">
    <w:p w14:paraId="3B88EC4D" w14:textId="77777777" w:rsidR="004E1220" w:rsidRDefault="004E1220" w:rsidP="004E1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Roboto">
    <w:charset w:val="00"/>
    <w:family w:val="auto"/>
    <w:pitch w:val="variable"/>
    <w:sig w:usb0="E0000AFF" w:usb1="5000217F" w:usb2="00000021" w:usb3="00000000" w:csb0="0000019F" w:csb1="00000000"/>
  </w:font>
  <w:font w:name="TimesNewRoman">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28CFC" w14:textId="46535F53" w:rsidR="004E1220" w:rsidRDefault="004E1220">
    <w:pPr>
      <w:pStyle w:val="Footer"/>
    </w:pPr>
    <w:r>
      <w:rPr>
        <w:noProof/>
      </w:rPr>
      <mc:AlternateContent>
        <mc:Choice Requires="wps">
          <w:drawing>
            <wp:anchor distT="0" distB="0" distL="0" distR="0" simplePos="0" relativeHeight="251659264" behindDoc="0" locked="0" layoutInCell="1" allowOverlap="1" wp14:anchorId="077CC1C2" wp14:editId="2F5E7907">
              <wp:simplePos x="635" y="635"/>
              <wp:positionH relativeFrom="page">
                <wp:align>center</wp:align>
              </wp:positionH>
              <wp:positionV relativeFrom="page">
                <wp:align>bottom</wp:align>
              </wp:positionV>
              <wp:extent cx="1268730" cy="405765"/>
              <wp:effectExtent l="0" t="0" r="7620" b="0"/>
              <wp:wrapNone/>
              <wp:docPr id="281717804" name="Text Box 2" descr="Regeneron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68730" cy="405765"/>
                      </a:xfrm>
                      <a:prstGeom prst="rect">
                        <a:avLst/>
                      </a:prstGeom>
                      <a:noFill/>
                      <a:ln>
                        <a:noFill/>
                      </a:ln>
                    </wps:spPr>
                    <wps:txbx>
                      <w:txbxContent>
                        <w:p w14:paraId="6A66AE25" w14:textId="0033AAB8" w:rsidR="004E1220" w:rsidRPr="004E1220" w:rsidRDefault="004E1220" w:rsidP="004E1220">
                          <w:pPr>
                            <w:spacing w:after="0"/>
                            <w:rPr>
                              <w:rFonts w:ascii="Calibri" w:eastAsia="Calibri" w:hAnsi="Calibri" w:cs="Calibri"/>
                              <w:noProof/>
                              <w:color w:val="898989"/>
                            </w:rPr>
                          </w:pPr>
                          <w:r w:rsidRPr="004E1220">
                            <w:rPr>
                              <w:rFonts w:ascii="Calibri" w:eastAsia="Calibri" w:hAnsi="Calibri" w:cs="Calibri"/>
                              <w:noProof/>
                              <w:color w:val="898989"/>
                            </w:rPr>
                            <w:t>Regeneron -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7CC1C2" id="_x0000_t202" coordsize="21600,21600" o:spt="202" path="m,l,21600r21600,l21600,xe">
              <v:stroke joinstyle="miter"/>
              <v:path gradientshapeok="t" o:connecttype="rect"/>
            </v:shapetype>
            <v:shape id="Text Box 2" o:spid="_x0000_s1026" type="#_x0000_t202" alt="Regeneron - Internal" style="position:absolute;margin-left:0;margin-top:0;width:99.9pt;height:31.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kzvCgIAABYEAAAOAAAAZHJzL2Uyb0RvYy54bWysU8Fu2zAMvQ/YPwi6L3ayJe2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" filled="f" stroked="f">
              <v:textbox style="mso-fit-shape-to-text:t" inset="0,0,0,15pt">
                <w:txbxContent>
                  <w:p w14:paraId="6A66AE25" w14:textId="0033AAB8" w:rsidR="004E1220" w:rsidRPr="004E1220" w:rsidRDefault="004E1220" w:rsidP="004E1220">
                    <w:pPr>
                      <w:spacing w:after="0"/>
                      <w:rPr>
                        <w:rFonts w:ascii="Calibri" w:eastAsia="Calibri" w:hAnsi="Calibri" w:cs="Calibri"/>
                        <w:noProof/>
                        <w:color w:val="898989"/>
                      </w:rPr>
                    </w:pPr>
                    <w:r w:rsidRPr="004E1220">
                      <w:rPr>
                        <w:rFonts w:ascii="Calibri" w:eastAsia="Calibri" w:hAnsi="Calibri" w:cs="Calibri"/>
                        <w:noProof/>
                        <w:color w:val="898989"/>
                      </w:rPr>
                      <w:t>Regeneron -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6180A" w14:textId="34FF4519" w:rsidR="004E1220" w:rsidRDefault="004E1220">
    <w:pPr>
      <w:pStyle w:val="Footer"/>
    </w:pPr>
    <w:r>
      <w:rPr>
        <w:noProof/>
      </w:rPr>
      <mc:AlternateContent>
        <mc:Choice Requires="wps">
          <w:drawing>
            <wp:anchor distT="0" distB="0" distL="0" distR="0" simplePos="0" relativeHeight="251660288" behindDoc="0" locked="0" layoutInCell="1" allowOverlap="1" wp14:anchorId="400A8E6C" wp14:editId="3F633986">
              <wp:simplePos x="914400" y="9417050"/>
              <wp:positionH relativeFrom="page">
                <wp:align>center</wp:align>
              </wp:positionH>
              <wp:positionV relativeFrom="page">
                <wp:align>bottom</wp:align>
              </wp:positionV>
              <wp:extent cx="1268730" cy="405765"/>
              <wp:effectExtent l="0" t="0" r="7620" b="0"/>
              <wp:wrapNone/>
              <wp:docPr id="1678695667" name="Text Box 3" descr="Regeneron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68730" cy="405765"/>
                      </a:xfrm>
                      <a:prstGeom prst="rect">
                        <a:avLst/>
                      </a:prstGeom>
                      <a:noFill/>
                      <a:ln>
                        <a:noFill/>
                      </a:ln>
                    </wps:spPr>
                    <wps:txbx>
                      <w:txbxContent>
                        <w:p w14:paraId="4E3FF2F2" w14:textId="0657FBB2" w:rsidR="004E1220" w:rsidRPr="004E1220" w:rsidRDefault="004E1220" w:rsidP="004E1220">
                          <w:pPr>
                            <w:spacing w:after="0"/>
                            <w:rPr>
                              <w:rFonts w:ascii="Calibri" w:eastAsia="Calibri" w:hAnsi="Calibri" w:cs="Calibri"/>
                              <w:noProof/>
                              <w:color w:val="898989"/>
                            </w:rPr>
                          </w:pPr>
                          <w:r w:rsidRPr="004E1220">
                            <w:rPr>
                              <w:rFonts w:ascii="Calibri" w:eastAsia="Calibri" w:hAnsi="Calibri" w:cs="Calibri"/>
                              <w:noProof/>
                              <w:color w:val="898989"/>
                            </w:rPr>
                            <w:t>Regeneron -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0A8E6C" id="_x0000_t202" coordsize="21600,21600" o:spt="202" path="m,l,21600r21600,l21600,xe">
              <v:stroke joinstyle="miter"/>
              <v:path gradientshapeok="t" o:connecttype="rect"/>
            </v:shapetype>
            <v:shape id="Text Box 3" o:spid="_x0000_s1027" type="#_x0000_t202" alt="Regeneron - Internal" style="position:absolute;margin-left:0;margin-top:0;width:99.9pt;height:31.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" filled="f" stroked="f">
              <v:textbox style="mso-fit-shape-to-text:t" inset="0,0,0,15pt">
                <w:txbxContent>
                  <w:p w14:paraId="4E3FF2F2" w14:textId="0657FBB2" w:rsidR="004E1220" w:rsidRPr="004E1220" w:rsidRDefault="004E1220" w:rsidP="004E1220">
                    <w:pPr>
                      <w:spacing w:after="0"/>
                      <w:rPr>
                        <w:rFonts w:ascii="Calibri" w:eastAsia="Calibri" w:hAnsi="Calibri" w:cs="Calibri"/>
                        <w:noProof/>
                        <w:color w:val="898989"/>
                      </w:rPr>
                    </w:pPr>
                    <w:r w:rsidRPr="004E1220">
                      <w:rPr>
                        <w:rFonts w:ascii="Calibri" w:eastAsia="Calibri" w:hAnsi="Calibri" w:cs="Calibri"/>
                        <w:noProof/>
                        <w:color w:val="898989"/>
                      </w:rPr>
                      <w:t>Regeneron -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9F497" w14:textId="4AF352F3" w:rsidR="004E1220" w:rsidRDefault="004E1220">
    <w:pPr>
      <w:pStyle w:val="Footer"/>
    </w:pPr>
    <w:r>
      <w:rPr>
        <w:noProof/>
      </w:rPr>
      <mc:AlternateContent>
        <mc:Choice Requires="wps">
          <w:drawing>
            <wp:anchor distT="0" distB="0" distL="0" distR="0" simplePos="0" relativeHeight="251658240" behindDoc="0" locked="0" layoutInCell="1" allowOverlap="1" wp14:anchorId="73C2002D" wp14:editId="29475114">
              <wp:simplePos x="635" y="635"/>
              <wp:positionH relativeFrom="page">
                <wp:align>center</wp:align>
              </wp:positionH>
              <wp:positionV relativeFrom="page">
                <wp:align>bottom</wp:align>
              </wp:positionV>
              <wp:extent cx="1268730" cy="405765"/>
              <wp:effectExtent l="0" t="0" r="7620" b="0"/>
              <wp:wrapNone/>
              <wp:docPr id="528985471" name="Text Box 1" descr="Regeneron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68730" cy="405765"/>
                      </a:xfrm>
                      <a:prstGeom prst="rect">
                        <a:avLst/>
                      </a:prstGeom>
                      <a:noFill/>
                      <a:ln>
                        <a:noFill/>
                      </a:ln>
                    </wps:spPr>
                    <wps:txbx>
                      <w:txbxContent>
                        <w:p w14:paraId="5946AC8C" w14:textId="07564C82" w:rsidR="004E1220" w:rsidRPr="004E1220" w:rsidRDefault="004E1220" w:rsidP="004E1220">
                          <w:pPr>
                            <w:spacing w:after="0"/>
                            <w:rPr>
                              <w:rFonts w:ascii="Calibri" w:eastAsia="Calibri" w:hAnsi="Calibri" w:cs="Calibri"/>
                              <w:noProof/>
                              <w:color w:val="898989"/>
                            </w:rPr>
                          </w:pPr>
                          <w:r w:rsidRPr="004E1220">
                            <w:rPr>
                              <w:rFonts w:ascii="Calibri" w:eastAsia="Calibri" w:hAnsi="Calibri" w:cs="Calibri"/>
                              <w:noProof/>
                              <w:color w:val="898989"/>
                            </w:rPr>
                            <w:t>Regeneron -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C2002D" id="_x0000_t202" coordsize="21600,21600" o:spt="202" path="m,l,21600r21600,l21600,xe">
              <v:stroke joinstyle="miter"/>
              <v:path gradientshapeok="t" o:connecttype="rect"/>
            </v:shapetype>
            <v:shape id="Text Box 1" o:spid="_x0000_s1028" type="#_x0000_t202" alt="Regeneron - Internal" style="position:absolute;margin-left:0;margin-top:0;width:99.9pt;height:31.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Q4RDwIAAB0EAAAOAAAAZHJzL2Uyb0RvYy54bWysU8Fu2zAMvQ/YPwi6L3ayJe2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" filled="f" stroked="f">
              <v:textbox style="mso-fit-shape-to-text:t" inset="0,0,0,15pt">
                <w:txbxContent>
                  <w:p w14:paraId="5946AC8C" w14:textId="07564C82" w:rsidR="004E1220" w:rsidRPr="004E1220" w:rsidRDefault="004E1220" w:rsidP="004E1220">
                    <w:pPr>
                      <w:spacing w:after="0"/>
                      <w:rPr>
                        <w:rFonts w:ascii="Calibri" w:eastAsia="Calibri" w:hAnsi="Calibri" w:cs="Calibri"/>
                        <w:noProof/>
                        <w:color w:val="898989"/>
                      </w:rPr>
                    </w:pPr>
                    <w:r w:rsidRPr="004E1220">
                      <w:rPr>
                        <w:rFonts w:ascii="Calibri" w:eastAsia="Calibri" w:hAnsi="Calibri" w:cs="Calibri"/>
                        <w:noProof/>
                        <w:color w:val="898989"/>
                      </w:rPr>
                      <w:t>Regeneron -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DFB6D" w14:textId="77777777" w:rsidR="004E1220" w:rsidRDefault="004E1220" w:rsidP="004E1220">
      <w:pPr>
        <w:spacing w:after="0" w:line="240" w:lineRule="auto"/>
      </w:pPr>
      <w:r>
        <w:separator/>
      </w:r>
    </w:p>
  </w:footnote>
  <w:footnote w:type="continuationSeparator" w:id="0">
    <w:p w14:paraId="23B3AF41" w14:textId="77777777" w:rsidR="004E1220" w:rsidRDefault="004E1220" w:rsidP="004E12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74831"/>
    <w:multiLevelType w:val="hybridMultilevel"/>
    <w:tmpl w:val="50F40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3C1662"/>
    <w:multiLevelType w:val="hybridMultilevel"/>
    <w:tmpl w:val="B33C7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EB06F6"/>
    <w:multiLevelType w:val="hybridMultilevel"/>
    <w:tmpl w:val="32C87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852E10"/>
    <w:multiLevelType w:val="hybridMultilevel"/>
    <w:tmpl w:val="8DE07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B11C1B"/>
    <w:multiLevelType w:val="hybridMultilevel"/>
    <w:tmpl w:val="CE8EA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0253114">
    <w:abstractNumId w:val="0"/>
  </w:num>
  <w:num w:numId="2" w16cid:durableId="1216162819">
    <w:abstractNumId w:val="4"/>
  </w:num>
  <w:num w:numId="3" w16cid:durableId="187107609">
    <w:abstractNumId w:val="3"/>
  </w:num>
  <w:num w:numId="4" w16cid:durableId="871265811">
    <w:abstractNumId w:val="1"/>
  </w:num>
  <w:num w:numId="5" w16cid:durableId="13393109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546"/>
    <w:rsid w:val="00017A19"/>
    <w:rsid w:val="000568DA"/>
    <w:rsid w:val="00077453"/>
    <w:rsid w:val="00083F68"/>
    <w:rsid w:val="000A6BA9"/>
    <w:rsid w:val="00105661"/>
    <w:rsid w:val="001D315B"/>
    <w:rsid w:val="001F330B"/>
    <w:rsid w:val="0021148E"/>
    <w:rsid w:val="00213BBC"/>
    <w:rsid w:val="002171DF"/>
    <w:rsid w:val="00256CD8"/>
    <w:rsid w:val="00257AFB"/>
    <w:rsid w:val="00262F92"/>
    <w:rsid w:val="0026393F"/>
    <w:rsid w:val="002A3BA5"/>
    <w:rsid w:val="002D3B03"/>
    <w:rsid w:val="002E50D6"/>
    <w:rsid w:val="0030659A"/>
    <w:rsid w:val="003302E1"/>
    <w:rsid w:val="003E1B86"/>
    <w:rsid w:val="00411219"/>
    <w:rsid w:val="00420977"/>
    <w:rsid w:val="00424F6D"/>
    <w:rsid w:val="00425C66"/>
    <w:rsid w:val="00437E66"/>
    <w:rsid w:val="00451616"/>
    <w:rsid w:val="0047017C"/>
    <w:rsid w:val="004E1220"/>
    <w:rsid w:val="005B6423"/>
    <w:rsid w:val="00634B70"/>
    <w:rsid w:val="006970FD"/>
    <w:rsid w:val="006A1546"/>
    <w:rsid w:val="006B6AA2"/>
    <w:rsid w:val="00734540"/>
    <w:rsid w:val="007364CF"/>
    <w:rsid w:val="0075397F"/>
    <w:rsid w:val="007E1C63"/>
    <w:rsid w:val="007E22EA"/>
    <w:rsid w:val="00852EB2"/>
    <w:rsid w:val="008A471A"/>
    <w:rsid w:val="008F7CA7"/>
    <w:rsid w:val="009007CF"/>
    <w:rsid w:val="009642D7"/>
    <w:rsid w:val="009A7451"/>
    <w:rsid w:val="009F2A2B"/>
    <w:rsid w:val="00A177A1"/>
    <w:rsid w:val="00A57765"/>
    <w:rsid w:val="00A959A7"/>
    <w:rsid w:val="00AA27F9"/>
    <w:rsid w:val="00AB001C"/>
    <w:rsid w:val="00B53515"/>
    <w:rsid w:val="00B851D5"/>
    <w:rsid w:val="00C04A2A"/>
    <w:rsid w:val="00C34AF7"/>
    <w:rsid w:val="00C4786B"/>
    <w:rsid w:val="00C644B2"/>
    <w:rsid w:val="00CC6677"/>
    <w:rsid w:val="00DA10B3"/>
    <w:rsid w:val="00E44B84"/>
    <w:rsid w:val="00E668EC"/>
    <w:rsid w:val="00ED0D16"/>
    <w:rsid w:val="00ED5C71"/>
    <w:rsid w:val="00F40C0B"/>
    <w:rsid w:val="00F53277"/>
    <w:rsid w:val="00F55FB5"/>
    <w:rsid w:val="00F705B2"/>
    <w:rsid w:val="00FD571A"/>
    <w:rsid w:val="00FF1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0920B"/>
  <w15:chartTrackingRefBased/>
  <w15:docId w15:val="{00101657-BBD2-8B48-9D39-698E0AF1D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15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15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15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15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15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15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15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15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15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15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15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15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15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15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15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15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15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1546"/>
    <w:rPr>
      <w:rFonts w:eastAsiaTheme="majorEastAsia" w:cstheme="majorBidi"/>
      <w:color w:val="272727" w:themeColor="text1" w:themeTint="D8"/>
    </w:rPr>
  </w:style>
  <w:style w:type="paragraph" w:styleId="Title">
    <w:name w:val="Title"/>
    <w:basedOn w:val="Normal"/>
    <w:next w:val="Normal"/>
    <w:link w:val="TitleChar"/>
    <w:uiPriority w:val="10"/>
    <w:qFormat/>
    <w:rsid w:val="006A15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15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15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15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1546"/>
    <w:pPr>
      <w:spacing w:before="160"/>
      <w:jc w:val="center"/>
    </w:pPr>
    <w:rPr>
      <w:i/>
      <w:iCs/>
      <w:color w:val="404040" w:themeColor="text1" w:themeTint="BF"/>
    </w:rPr>
  </w:style>
  <w:style w:type="character" w:customStyle="1" w:styleId="QuoteChar">
    <w:name w:val="Quote Char"/>
    <w:basedOn w:val="DefaultParagraphFont"/>
    <w:link w:val="Quote"/>
    <w:uiPriority w:val="29"/>
    <w:rsid w:val="006A1546"/>
    <w:rPr>
      <w:i/>
      <w:iCs/>
      <w:color w:val="404040" w:themeColor="text1" w:themeTint="BF"/>
    </w:rPr>
  </w:style>
  <w:style w:type="paragraph" w:styleId="ListParagraph">
    <w:name w:val="List Paragraph"/>
    <w:basedOn w:val="Normal"/>
    <w:uiPriority w:val="34"/>
    <w:qFormat/>
    <w:rsid w:val="006A1546"/>
    <w:pPr>
      <w:ind w:left="720"/>
      <w:contextualSpacing/>
    </w:pPr>
  </w:style>
  <w:style w:type="character" w:styleId="IntenseEmphasis">
    <w:name w:val="Intense Emphasis"/>
    <w:basedOn w:val="DefaultParagraphFont"/>
    <w:uiPriority w:val="21"/>
    <w:qFormat/>
    <w:rsid w:val="006A1546"/>
    <w:rPr>
      <w:i/>
      <w:iCs/>
      <w:color w:val="0F4761" w:themeColor="accent1" w:themeShade="BF"/>
    </w:rPr>
  </w:style>
  <w:style w:type="paragraph" w:styleId="IntenseQuote">
    <w:name w:val="Intense Quote"/>
    <w:basedOn w:val="Normal"/>
    <w:next w:val="Normal"/>
    <w:link w:val="IntenseQuoteChar"/>
    <w:uiPriority w:val="30"/>
    <w:qFormat/>
    <w:rsid w:val="006A15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1546"/>
    <w:rPr>
      <w:i/>
      <w:iCs/>
      <w:color w:val="0F4761" w:themeColor="accent1" w:themeShade="BF"/>
    </w:rPr>
  </w:style>
  <w:style w:type="character" w:styleId="IntenseReference">
    <w:name w:val="Intense Reference"/>
    <w:basedOn w:val="DefaultParagraphFont"/>
    <w:uiPriority w:val="32"/>
    <w:qFormat/>
    <w:rsid w:val="006A1546"/>
    <w:rPr>
      <w:b/>
      <w:bCs/>
      <w:smallCaps/>
      <w:color w:val="0F4761" w:themeColor="accent1" w:themeShade="BF"/>
      <w:spacing w:val="5"/>
    </w:rPr>
  </w:style>
  <w:style w:type="character" w:styleId="Hyperlink">
    <w:name w:val="Hyperlink"/>
    <w:basedOn w:val="DefaultParagraphFont"/>
    <w:uiPriority w:val="99"/>
    <w:unhideWhenUsed/>
    <w:rsid w:val="006A1546"/>
    <w:rPr>
      <w:color w:val="467886" w:themeColor="hyperlink"/>
      <w:u w:val="single"/>
    </w:rPr>
  </w:style>
  <w:style w:type="character" w:styleId="UnresolvedMention">
    <w:name w:val="Unresolved Mention"/>
    <w:basedOn w:val="DefaultParagraphFont"/>
    <w:uiPriority w:val="99"/>
    <w:semiHidden/>
    <w:unhideWhenUsed/>
    <w:rsid w:val="006A1546"/>
    <w:rPr>
      <w:color w:val="605E5C"/>
      <w:shd w:val="clear" w:color="auto" w:fill="E1DFDD"/>
    </w:rPr>
  </w:style>
  <w:style w:type="character" w:styleId="CommentReference">
    <w:name w:val="annotation reference"/>
    <w:basedOn w:val="DefaultParagraphFont"/>
    <w:uiPriority w:val="99"/>
    <w:semiHidden/>
    <w:unhideWhenUsed/>
    <w:rsid w:val="006A1546"/>
    <w:rPr>
      <w:sz w:val="16"/>
      <w:szCs w:val="16"/>
    </w:rPr>
  </w:style>
  <w:style w:type="paragraph" w:styleId="CommentText">
    <w:name w:val="annotation text"/>
    <w:aliases w:val="Annotationtext,Comment Text Char Char,Comment Text Char1 Char Char,Comment Text Char Char Char Char,Comment Text Char Char1,- H19,Comment Text Char1 Char,Comment Text Char1,Comment Text Char Char Char Char Char Char1 Ch,Comment Text Char2"/>
    <w:basedOn w:val="Normal"/>
    <w:link w:val="CommentTextChar"/>
    <w:unhideWhenUsed/>
    <w:rsid w:val="006A1546"/>
    <w:pPr>
      <w:spacing w:line="240" w:lineRule="auto"/>
    </w:pPr>
    <w:rPr>
      <w:sz w:val="20"/>
      <w:szCs w:val="20"/>
    </w:rPr>
  </w:style>
  <w:style w:type="character" w:customStyle="1" w:styleId="CommentTextChar">
    <w:name w:val="Comment Text Char"/>
    <w:aliases w:val="Annotationtext Char,Comment Text Char Char Char,Comment Text Char1 Char Char Char,Comment Text Char Char Char Char Char,Comment Text Char Char1 Char,- H19 Char,Comment Text Char1 Char Char1,Comment Text Char1 Char1"/>
    <w:basedOn w:val="DefaultParagraphFont"/>
    <w:link w:val="CommentText"/>
    <w:rsid w:val="006A1546"/>
    <w:rPr>
      <w:sz w:val="20"/>
      <w:szCs w:val="20"/>
    </w:rPr>
  </w:style>
  <w:style w:type="paragraph" w:styleId="CommentSubject">
    <w:name w:val="annotation subject"/>
    <w:basedOn w:val="CommentText"/>
    <w:next w:val="CommentText"/>
    <w:link w:val="CommentSubjectChar"/>
    <w:uiPriority w:val="99"/>
    <w:semiHidden/>
    <w:unhideWhenUsed/>
    <w:rsid w:val="006A1546"/>
    <w:rPr>
      <w:b/>
      <w:bCs/>
    </w:rPr>
  </w:style>
  <w:style w:type="character" w:customStyle="1" w:styleId="CommentSubjectChar">
    <w:name w:val="Comment Subject Char"/>
    <w:basedOn w:val="CommentTextChar"/>
    <w:link w:val="CommentSubject"/>
    <w:uiPriority w:val="99"/>
    <w:semiHidden/>
    <w:rsid w:val="006A1546"/>
    <w:rPr>
      <w:b/>
      <w:bCs/>
      <w:sz w:val="20"/>
      <w:szCs w:val="20"/>
    </w:rPr>
  </w:style>
  <w:style w:type="character" w:styleId="FollowedHyperlink">
    <w:name w:val="FollowedHyperlink"/>
    <w:basedOn w:val="DefaultParagraphFont"/>
    <w:uiPriority w:val="99"/>
    <w:semiHidden/>
    <w:unhideWhenUsed/>
    <w:rsid w:val="00734540"/>
    <w:rPr>
      <w:color w:val="96607D" w:themeColor="followedHyperlink"/>
      <w:u w:val="single"/>
    </w:rPr>
  </w:style>
  <w:style w:type="paragraph" w:styleId="Revision">
    <w:name w:val="Revision"/>
    <w:hidden/>
    <w:uiPriority w:val="99"/>
    <w:semiHidden/>
    <w:rsid w:val="00017A19"/>
    <w:pPr>
      <w:spacing w:after="0" w:line="240" w:lineRule="auto"/>
    </w:pPr>
  </w:style>
  <w:style w:type="paragraph" w:customStyle="1" w:styleId="C-BodyText">
    <w:name w:val="C-Body Text"/>
    <w:link w:val="C-BodyTextChar"/>
    <w:rsid w:val="00F53277"/>
    <w:pPr>
      <w:spacing w:before="120" w:after="120" w:line="280" w:lineRule="atLeast"/>
    </w:pPr>
    <w:rPr>
      <w:rFonts w:ascii="Times New Roman" w:eastAsia="Times New Roman" w:hAnsi="Times New Roman" w:cs="Times New Roman"/>
      <w:kern w:val="0"/>
      <w:szCs w:val="20"/>
      <w14:ligatures w14:val="none"/>
    </w:rPr>
  </w:style>
  <w:style w:type="character" w:customStyle="1" w:styleId="C-BodyTextChar">
    <w:name w:val="C-Body Text Char"/>
    <w:link w:val="C-BodyText"/>
    <w:rsid w:val="00F53277"/>
    <w:rPr>
      <w:rFonts w:ascii="Times New Roman" w:eastAsia="Times New Roman" w:hAnsi="Times New Roman" w:cs="Times New Roman"/>
      <w:kern w:val="0"/>
      <w:szCs w:val="20"/>
      <w14:ligatures w14:val="none"/>
    </w:rPr>
  </w:style>
  <w:style w:type="paragraph" w:styleId="Footer">
    <w:name w:val="footer"/>
    <w:basedOn w:val="Normal"/>
    <w:link w:val="FooterChar"/>
    <w:uiPriority w:val="99"/>
    <w:unhideWhenUsed/>
    <w:rsid w:val="004E1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2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387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egeneron.com/downloads/codrugcosteducation_libtayo.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ibtayohcp.com/" TargetMode="External"/><Relationship Id="rId12" Type="http://schemas.openxmlformats.org/officeDocument/2006/relationships/hyperlink" Target="https://www.libtayohcp.com/libtayo-surround"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ibtayohcp.com/product-suppor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regeneron.com/downloads/libtayo_fpi.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svg"/><Relationship Id="rId14" Type="http://schemas.openxmlformats.org/officeDocument/2006/relationships/hyperlink" Target="https://www.regeneron.com/downloads/ctdrugcosteducation_libtayo.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2685</Words>
  <Characters>15308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Lourenco</dc:creator>
  <cp:keywords/>
  <dc:description/>
  <cp:lastModifiedBy>Nicholas Tedeschi</cp:lastModifiedBy>
  <cp:revision>2</cp:revision>
  <dcterms:created xsi:type="dcterms:W3CDTF">2025-10-14T17:26:00Z</dcterms:created>
  <dcterms:modified xsi:type="dcterms:W3CDTF">2025-10-14T17:26:00Z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1f87ad7f,10caac2c,640edcf3</vt:lpwstr>
  </property>
  <property fmtid="{D5CDD505-2E9C-101B-9397-08002B2CF9AE}" pid="3" name="ClassificationContentMarkingFooterFontProps">
    <vt:lpwstr>#898989,12,Calibri</vt:lpwstr>
  </property>
  <property fmtid="{D5CDD505-2E9C-101B-9397-08002B2CF9AE}" pid="4" name="ClassificationContentMarkingFooterText">
    <vt:lpwstr>Regeneron - Internal</vt:lpwstr>
  </property>
  <property fmtid="{D5CDD505-2E9C-101B-9397-08002B2CF9AE}" pid="5" name="MSIP_Label_2da9790f-e5c1-4030-9332-9cdee48e94a8_Enabled">
    <vt:lpwstr>true</vt:lpwstr>
  </property>
  <property fmtid="{D5CDD505-2E9C-101B-9397-08002B2CF9AE}" pid="6" name="MSIP_Label_2da9790f-e5c1-4030-9332-9cdee48e94a8_SetDate">
    <vt:lpwstr>2025-10-14T17:24:55Z</vt:lpwstr>
  </property>
  <property fmtid="{D5CDD505-2E9C-101B-9397-08002B2CF9AE}" pid="7" name="MSIP_Label_2da9790f-e5c1-4030-9332-9cdee48e94a8_Method">
    <vt:lpwstr>Standard</vt:lpwstr>
  </property>
  <property fmtid="{D5CDD505-2E9C-101B-9397-08002B2CF9AE}" pid="8" name="MSIP_Label_2da9790f-e5c1-4030-9332-9cdee48e94a8_Name">
    <vt:lpwstr>Internal</vt:lpwstr>
  </property>
  <property fmtid="{D5CDD505-2E9C-101B-9397-08002B2CF9AE}" pid="9" name="MSIP_Label_2da9790f-e5c1-4030-9332-9cdee48e94a8_SiteId">
    <vt:lpwstr>3e9aadf8-6a16-490f-8dcd-c68860caae0b</vt:lpwstr>
  </property>
  <property fmtid="{D5CDD505-2E9C-101B-9397-08002B2CF9AE}" pid="10" name="MSIP_Label_2da9790f-e5c1-4030-9332-9cdee48e94a8_ActionId">
    <vt:lpwstr>6d7fb84f-15d5-437b-845c-d6c028504244</vt:lpwstr>
  </property>
  <property fmtid="{D5CDD505-2E9C-101B-9397-08002B2CF9AE}" pid="11" name="MSIP_Label_2da9790f-e5c1-4030-9332-9cdee48e94a8_ContentBits">
    <vt:lpwstr>2</vt:lpwstr>
  </property>
  <property fmtid="{D5CDD505-2E9C-101B-9397-08002B2CF9AE}" pid="12" name="MSIP_Label_2da9790f-e5c1-4030-9332-9cdee48e94a8_Tag">
    <vt:lpwstr>10, 3, 0, 1</vt:lpwstr>
  </property>
</Properties>
</file>